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#11</w:t>
      </w:r>
      <w:r>
        <w:rPr>
          <w:rFonts w:hint="eastAsia" w:ascii="Arial" w:hAnsi="Arial" w:cs="Arial"/>
          <w:b/>
          <w:bCs/>
          <w:sz w:val="28"/>
          <w:szCs w:val="28"/>
          <w:lang w:val="en-US" w:eastAsia="zh-CN"/>
        </w:rPr>
        <w:t>9</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R1-240</w:t>
      </w:r>
      <w:r>
        <w:rPr>
          <w:rFonts w:hint="eastAsia" w:ascii="Arial" w:hAnsi="Arial" w:cs="Arial"/>
          <w:b/>
          <w:bCs/>
          <w:sz w:val="28"/>
          <w:szCs w:val="28"/>
          <w:lang w:val="en-US" w:eastAsia="zh-CN"/>
        </w:rPr>
        <w:t>9967</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ascii="Arial" w:hAnsi="Arial" w:eastAsia="Batang" w:cs="Arial"/>
          <w:b/>
          <w:bCs/>
          <w:sz w:val="28"/>
          <w:szCs w:val="28"/>
          <w:lang w:eastAsia="en-US"/>
        </w:rPr>
        <w:t xml:space="preserve">Orlando, US, </w:t>
      </w:r>
      <w:r>
        <w:rPr>
          <w:rFonts w:hint="eastAsia" w:ascii="Arial" w:hAnsi="Arial" w:eastAsia="Batang" w:cs="Arial"/>
          <w:b/>
          <w:bCs/>
          <w:sz w:val="28"/>
          <w:szCs w:val="28"/>
          <w:lang w:eastAsia="en-US"/>
        </w:rPr>
        <w:t>N</w:t>
      </w:r>
      <w:r>
        <w:rPr>
          <w:rFonts w:ascii="Arial" w:hAnsi="Arial" w:eastAsia="Batang" w:cs="Arial"/>
          <w:b/>
          <w:bCs/>
          <w:sz w:val="28"/>
          <w:szCs w:val="28"/>
          <w:lang w:eastAsia="en-US"/>
        </w:rPr>
        <w:t>ovember 18</w:t>
      </w:r>
      <w:r>
        <w:rPr>
          <w:rFonts w:hint="eastAsia" w:ascii="Arial" w:hAnsi="Arial" w:eastAsia="Batang" w:cs="Arial"/>
          <w:b/>
          <w:bCs/>
          <w:sz w:val="28"/>
          <w:szCs w:val="28"/>
          <w:lang w:eastAsia="en-US"/>
        </w:rPr>
        <w:t>th</w:t>
      </w:r>
      <w:r>
        <w:rPr>
          <w:rFonts w:ascii="Arial" w:hAnsi="Arial" w:eastAsia="Batang" w:cs="Arial"/>
          <w:b/>
          <w:bCs/>
          <w:sz w:val="28"/>
          <w:szCs w:val="28"/>
          <w:lang w:eastAsia="en-US"/>
        </w:rPr>
        <w:t xml:space="preserve"> – 22nd, 2024</w:t>
      </w:r>
    </w:p>
    <w:p>
      <w:pPr>
        <w:pStyle w:val="26"/>
        <w:spacing w:before="0" w:beforeLines="0" w:after="0" w:afterLines="0" w:line="360" w:lineRule="auto"/>
        <w:jc w:val="left"/>
        <w:rPr>
          <w:rFonts w:ascii="Arial" w:hAnsi="Arial" w:cs="Arial"/>
          <w:sz w:val="22"/>
          <w:szCs w:val="22"/>
          <w:lang w:val="en-US"/>
        </w:rPr>
      </w:pPr>
      <w:bookmarkStart w:id="0" w:name="OLE_LINK4"/>
      <w:bookmarkStart w:id="1" w:name="OLE_LINK3"/>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p>
    <w:p>
      <w:pPr>
        <w:pStyle w:val="26"/>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rPr>
        <w:t>Discussion on adaptive transmission of common signal or common channel</w:t>
      </w:r>
    </w:p>
    <w:p>
      <w:pPr>
        <w:pStyle w:val="26"/>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default" w:ascii="Arial" w:hAnsi="Arial" w:cs="Arial"/>
          <w:sz w:val="22"/>
          <w:szCs w:val="22"/>
          <w:lang w:val="en-US" w:eastAsia="zh-CN"/>
        </w:rPr>
        <w:t>9</w:t>
      </w:r>
      <w:r>
        <w:rPr>
          <w:rFonts w:ascii="Arial" w:hAnsi="Arial" w:cs="Arial"/>
          <w:sz w:val="22"/>
          <w:szCs w:val="22"/>
          <w:lang w:eastAsia="zh-CN"/>
        </w:rPr>
        <w:t>.</w:t>
      </w:r>
      <w:r>
        <w:rPr>
          <w:rFonts w:hint="default" w:ascii="Arial" w:hAnsi="Arial" w:cs="Arial"/>
          <w:sz w:val="22"/>
          <w:szCs w:val="22"/>
          <w:lang w:val="en-US" w:eastAsia="zh-CN"/>
        </w:rPr>
        <w:t>5</w:t>
      </w:r>
      <w:r>
        <w:rPr>
          <w:rFonts w:ascii="Arial" w:hAnsi="Arial" w:cs="Arial"/>
          <w:sz w:val="22"/>
          <w:szCs w:val="22"/>
          <w:lang w:eastAsia="zh-CN"/>
        </w:rPr>
        <w:t>.</w:t>
      </w:r>
      <w:r>
        <w:rPr>
          <w:rFonts w:hint="default" w:ascii="Arial" w:hAnsi="Arial" w:cs="Arial"/>
          <w:sz w:val="22"/>
          <w:szCs w:val="22"/>
          <w:lang w:val="en-US" w:eastAsia="zh-CN"/>
        </w:rPr>
        <w:t>3</w:t>
      </w:r>
    </w:p>
    <w:p>
      <w:pPr>
        <w:pStyle w:val="26"/>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240" w:beforeLines="0" w:after="180" w:afterLines="0" w:line="24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spacing w:before="0" w:beforeLines="-2147483648" w:after="0" w:afterLines="-2147483648" w:line="24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RAN1#11</w:t>
      </w:r>
      <w:r>
        <w:rPr>
          <w:rFonts w:hint="eastAsia" w:cs="Times New Roman"/>
          <w:sz w:val="20"/>
          <w:szCs w:val="20"/>
          <w:lang w:val="en-US" w:eastAsia="zh-CN"/>
        </w:rPr>
        <w:t>8bis</w:t>
      </w:r>
      <w:r>
        <w:rPr>
          <w:rFonts w:hint="default" w:ascii="Times New Roman" w:hAnsi="Times New Roman" w:cs="Times New Roman"/>
          <w:sz w:val="20"/>
          <w:szCs w:val="20"/>
          <w:lang w:val="en-US" w:eastAsia="zh-CN"/>
        </w:rPr>
        <w:t xml:space="preserve"> meeting, the following agreements</w:t>
      </w:r>
      <w:r>
        <w:rPr>
          <w:rFonts w:hint="eastAsia" w:cs="Times New Roman"/>
          <w:sz w:val="20"/>
          <w:szCs w:val="20"/>
          <w:lang w:val="en-US" w:eastAsia="zh-CN"/>
        </w:rPr>
        <w:t>[1] on adaptive transmission of common s</w:t>
      </w:r>
      <w:r>
        <w:rPr>
          <w:rFonts w:hint="default" w:ascii="Times New Roman" w:hAnsi="Times New Roman" w:cs="Times New Roman"/>
          <w:sz w:val="20"/>
          <w:szCs w:val="20"/>
          <w:lang w:val="en-US" w:eastAsia="zh-CN"/>
        </w:rPr>
        <w:t>ignal/channel</w:t>
      </w:r>
      <w:r>
        <w:rPr>
          <w:rFonts w:hint="eastAsia" w:cs="Times New Roman"/>
          <w:sz w:val="20"/>
          <w:szCs w:val="20"/>
          <w:lang w:val="en-US" w:eastAsia="zh-CN"/>
        </w:rPr>
        <w:t xml:space="preserve"> were reached</w:t>
      </w:r>
      <w:r>
        <w:rPr>
          <w:rFonts w:hint="default" w:ascii="Times New Roman" w:hAnsi="Times New Roman" w:cs="Times New Roman"/>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rPr>
            </w:pPr>
            <w:r>
              <w:rPr>
                <w:rFonts w:hint="eastAsia" w:ascii="Times New Roman" w:hAnsi="Times New Roman"/>
                <w:sz w:val="20"/>
                <w:szCs w:val="20"/>
              </w:rPr>
              <w:t xml:space="preserve">For adaptation of PRACH in time-domain, the same </w:t>
            </w:r>
            <w:r>
              <w:rPr>
                <w:rFonts w:hint="eastAsia" w:ascii="Times New Roman" w:hAnsi="Times New Roman"/>
                <w:sz w:val="20"/>
                <w:szCs w:val="20"/>
                <w:lang w:val="en-US"/>
              </w:rPr>
              <w:t>PRACH preamble format is used for the additional RACH resources and legacy PRACH resources.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rPr>
            </w:pPr>
            <w:r>
              <w:rPr>
                <w:rFonts w:hint="eastAsia" w:ascii="Times New Roman" w:hAnsi="Times New Roman"/>
                <w:sz w:val="20"/>
                <w:szCs w:val="20"/>
                <w:highlight w:val="green"/>
                <w:lang w:val="en-US"/>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PRACH in time-domain, support both of the following </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Alt 1: The PRACH configuration index for the additional PRACH resources is same as the PRACH configuration index for the legacy resources </w:t>
            </w:r>
          </w:p>
          <w:p>
            <w:pPr>
              <w:keepNext w:val="0"/>
              <w:keepLines w:val="0"/>
              <w:widowControl/>
              <w:numPr>
                <w:ilvl w:val="0"/>
                <w:numId w:val="3"/>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Alt 2: The PRACH configuration index for the additional PRACH resources is different from the PRACH configuration index for the legacy resources</w:t>
            </w:r>
          </w:p>
          <w:p>
            <w:pPr>
              <w:keepNext w:val="0"/>
              <w:keepLines w:val="0"/>
              <w:widowControl/>
              <w:numPr>
                <w:ilvl w:val="0"/>
                <w:numId w:val="3"/>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Additional details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PRACH in time-domain, the frequency domain resources for the additional PRACH resources and legacy PRACH resources can be same or different </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FFS: applicable case(s) (i.e. case(s) from the RAN1#117 agreement).</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Discuss further following options for signaling </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Option 1: at least the following parameter(s) can be configured separately for the additional PRACH resources.</w:t>
            </w:r>
          </w:p>
          <w:p>
            <w:pPr>
              <w:keepNext w:val="0"/>
              <w:keepLines w:val="0"/>
              <w:widowControl/>
              <w:numPr>
                <w:ilvl w:val="2"/>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msg1-FrequencyStart at least for 4-step RACH </w:t>
            </w:r>
          </w:p>
          <w:p>
            <w:pPr>
              <w:keepNext w:val="0"/>
              <w:keepLines w:val="0"/>
              <w:widowControl/>
              <w:numPr>
                <w:ilvl w:val="2"/>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lang w:eastAsia="zh-CN"/>
              </w:rPr>
              <w:t>FFS: other applicable legacy frequency domain parameter(s)</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rPr>
              <w:t xml:space="preserve">Option 2: </w:t>
            </w:r>
            <w:r>
              <w:rPr>
                <w:rFonts w:hint="eastAsia" w:ascii="Times New Roman" w:hAnsi="Times New Roman"/>
                <w:sz w:val="20"/>
                <w:szCs w:val="20"/>
                <w:lang w:eastAsia="zh-CN"/>
              </w:rPr>
              <w:t>Offset to legacy frequency domain parameter(s) are configured for the additional PRACH resources</w:t>
            </w:r>
          </w:p>
          <w:p>
            <w:pPr>
              <w:keepNext w:val="0"/>
              <w:keepLines w:val="0"/>
              <w:widowControl/>
              <w:numPr>
                <w:ilvl w:val="2"/>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Offset to legacy frequency domain parameter(s) is a new parameter</w:t>
            </w:r>
          </w:p>
          <w:p>
            <w:pPr>
              <w:keepNext w:val="0"/>
              <w:keepLines w:val="0"/>
              <w:widowControl/>
              <w:numPr>
                <w:ilvl w:val="2"/>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applicable legacy frequency domain parameter(s)</w:t>
            </w:r>
          </w:p>
          <w:p>
            <w:pPr>
              <w:keepNext w:val="0"/>
              <w:keepLines w:val="0"/>
              <w:widowControl/>
              <w:suppressLineNumbers w:val="0"/>
              <w:overflowPunct w:val="0"/>
              <w:autoSpaceDE w:val="0"/>
              <w:autoSpaceDN w:val="0"/>
              <w:adjustRightInd w:val="0"/>
              <w:spacing w:beforeAutospacing="0" w:after="120" w:afterAutospacing="0"/>
              <w:ind w:right="0"/>
              <w:contextualSpacing/>
              <w:jc w:val="both"/>
              <w:textAlignment w:val="baseline"/>
              <w:rPr>
                <w:rFonts w:hint="eastAsia" w:ascii="Times New Roman" w:hAnsi="Times New Roman"/>
                <w:b/>
                <w:bCs/>
                <w:sz w:val="20"/>
                <w:szCs w:val="20"/>
              </w:rPr>
            </w:pPr>
            <w:r>
              <w:rPr>
                <w:rFonts w:hint="eastAsia" w:ascii="Times New Roman" w:hAnsi="Times New Roman"/>
                <w:b/>
                <w:bCs/>
                <w:sz w:val="20"/>
                <w:szCs w:val="20"/>
              </w:rPr>
              <w:t>Conclusion</w:t>
            </w:r>
          </w:p>
          <w:p>
            <w:pPr>
              <w:keepNext w:val="0"/>
              <w:keepLines w:val="0"/>
              <w:widowControl/>
              <w:suppressLineNumbers w:val="0"/>
              <w:overflowPunct w:val="0"/>
              <w:autoSpaceDE w:val="0"/>
              <w:autoSpaceDN w:val="0"/>
              <w:adjustRightInd w:val="0"/>
              <w:spacing w:beforeAutospacing="0" w:after="120" w:afterAutospacing="0"/>
              <w:ind w:right="0"/>
              <w:contextualSpacing/>
              <w:jc w:val="both"/>
              <w:textAlignment w:val="baseline"/>
              <w:rPr>
                <w:rFonts w:hint="eastAsia" w:ascii="Times New Roman" w:hAnsi="Times New Roman"/>
                <w:sz w:val="20"/>
                <w:szCs w:val="20"/>
              </w:rPr>
            </w:pPr>
            <w:r>
              <w:rPr>
                <w:rFonts w:hint="eastAsia" w:ascii="Times New Roman" w:hAnsi="Times New Roman"/>
                <w:sz w:val="20"/>
                <w:szCs w:val="20"/>
              </w:rPr>
              <w:t>There is no consensus on the support of adaptation of SSB for idle mode UEs in Rel-19.</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lang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line="259" w:lineRule="auto"/>
              <w:ind w:right="0"/>
              <w:textAlignment w:val="baseline"/>
              <w:rPr>
                <w:rFonts w:hint="eastAsia" w:cs="Times"/>
                <w:sz w:val="20"/>
                <w:szCs w:val="20"/>
              </w:rPr>
            </w:pPr>
            <w:r>
              <w:rPr>
                <w:rFonts w:hint="eastAsia" w:cs="Times"/>
                <w:sz w:val="20"/>
                <w:szCs w:val="20"/>
              </w:rPr>
              <w:t xml:space="preserve">For Cell DTX extension to SSBs not on sync-raster for connected mode UEs, select Option 3, i.e. </w:t>
            </w:r>
            <w:r>
              <w:rPr>
                <w:rFonts w:hint="eastAsia" w:ascii="Times New Roman" w:hAnsi="Times New Roman"/>
                <w:sz w:val="20"/>
                <w:szCs w:val="20"/>
              </w:rPr>
              <w:t>Cell DTX does not impact UE assumption on SSB transmissions (i.e. legacy behavior).</w:t>
            </w:r>
          </w:p>
          <w:p>
            <w:pPr>
              <w:pStyle w:val="27"/>
              <w:keepNext w:val="0"/>
              <w:keepLines w:val="0"/>
              <w:widowControl/>
              <w:numPr>
                <w:ilvl w:val="0"/>
                <w:numId w:val="5"/>
              </w:numPr>
              <w:suppressLineNumbers w:val="0"/>
              <w:overflowPunct w:val="0"/>
              <w:autoSpaceDE w:val="0"/>
              <w:autoSpaceDN w:val="0"/>
              <w:adjustRightInd w:val="0"/>
              <w:spacing w:beforeAutospacing="0" w:afterAutospacing="0"/>
              <w:ind w:left="851" w:right="0"/>
              <w:textAlignment w:val="baseline"/>
              <w:rPr>
                <w:rFonts w:hint="eastAsia"/>
                <w:sz w:val="20"/>
              </w:rPr>
            </w:pPr>
            <w:r>
              <w:rPr>
                <w:rFonts w:hint="eastAsia"/>
                <w:sz w:val="20"/>
              </w:rPr>
              <w:t>No spec impact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PRACH in time-domain, for determining the additional PRACH resources in time-domain, </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For Alt 1 (same PRACH configuration index for additional and legacy PRACH resources), select one or more of the following additional mechanism(s),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1-2a: up to N1 additional value(s) of (x, y)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N1(&gt;=1)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1-2b: up to N2 additional value(s) of y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N2 (&gt;=1)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1-3: Muting/masking ROs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1-4: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N4_1 additional timing offset(s) at frame-level</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N4_2 additional timing offset(s) at slot-level</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values of N4_1(&gt;=1) and N4_2(&gt;=1)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1-5: No additional mechanism is selected.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Note: x and y refer to the parameters from the random-access configuration tables (from 38.211)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For Alt 2 (different PRACH configuration index for additional and legacy PRACH resources), select one or more of the following additional mechanism(s),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1-2a: up to N1 additional value(s) of (x, y)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N1(&gt;=1)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1-2b: up to N2 additional value(s) of y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N2 (&gt;=1)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1-3: Muting/masking ROs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1-4: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N4_1 additional timing offset(s) at frame-level</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N4_2 additional timing offset(s) at slot-level</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values of N4_1(&gt;=1) and N4_2(&gt;=1)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1-5: No additional mechanism is selected.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Note: x and y refer to the parameters from the random-access configuration tables (from 38.211)</w:t>
            </w:r>
          </w:p>
          <w:p>
            <w:pPr>
              <w:keepNext w:val="0"/>
              <w:keepLines w:val="0"/>
              <w:widowControl/>
              <w:suppressLineNumbers w:val="0"/>
              <w:overflowPunct w:val="0"/>
              <w:autoSpaceDE w:val="0"/>
              <w:autoSpaceDN w:val="0"/>
              <w:adjustRightInd w:val="0"/>
              <w:spacing w:before="0" w:beforeLines="0" w:beforeAutospacing="0" w:after="0" w:afterLines="0" w:afterAutospacing="0" w:line="360" w:lineRule="auto"/>
              <w:ind w:right="0"/>
              <w:jc w:val="left"/>
              <w:textAlignment w:val="baseline"/>
              <w:rPr>
                <w:rFonts w:hint="default" w:ascii="Times New Roman" w:hAnsi="Times New Roman" w:cs="Times New Roman"/>
                <w:sz w:val="20"/>
                <w:szCs w:val="20"/>
                <w:vertAlign w:val="baseline"/>
                <w:lang w:val="en-US" w:eastAsia="zh-CN"/>
              </w:rPr>
            </w:pPr>
          </w:p>
        </w:tc>
      </w:tr>
    </w:tbl>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sz w:val="20"/>
          <w:szCs w:val="20"/>
          <w:lang w:val="en-US" w:eastAsia="zh-CN"/>
        </w:rPr>
        <w:t xml:space="preserve"> </w:t>
      </w:r>
      <w:r>
        <w:rPr>
          <w:rFonts w:hint="default" w:ascii="Times New Roman" w:hAnsi="Times New Roman" w:cs="Times New Roman"/>
          <w:sz w:val="20"/>
          <w:szCs w:val="20"/>
          <w:lang w:val="en-US" w:eastAsia="zh-CN"/>
        </w:rPr>
        <w:t>will be discussed.</w:t>
      </w:r>
    </w:p>
    <w:p>
      <w:pPr>
        <w:pStyle w:val="2"/>
        <w:spacing w:before="0" w:beforeLines="50" w:after="0" w:afterLines="50" w:line="360" w:lineRule="auto"/>
        <w:ind w:left="0" w:firstLine="0"/>
        <w:rPr>
          <w:rFonts w:ascii="Arial" w:hAnsi="Arial" w:eastAsia="宋体" w:cs="Arial"/>
          <w:b w:val="0"/>
          <w:bCs w:val="0"/>
          <w:kern w:val="32"/>
          <w:sz w:val="30"/>
          <w:szCs w:val="30"/>
          <w:lang w:val="en-US" w:eastAsia="zh-CN" w:bidi="ar-SA"/>
        </w:rPr>
      </w:pPr>
      <w:r>
        <w:rPr>
          <w:rFonts w:hint="eastAsia" w:ascii="Arial" w:hAnsi="Arial" w:cs="Arial"/>
          <w:b w:val="0"/>
          <w:bCs w:val="0"/>
          <w:kern w:val="32"/>
          <w:sz w:val="30"/>
          <w:szCs w:val="30"/>
          <w:lang w:val="en-US" w:eastAsia="zh-CN" w:bidi="ar-SA"/>
        </w:rPr>
        <w:t>A</w:t>
      </w:r>
      <w:r>
        <w:rPr>
          <w:rFonts w:hint="default" w:ascii="Arial" w:hAnsi="Arial" w:eastAsia="宋体" w:cs="Arial"/>
          <w:b w:val="0"/>
          <w:bCs w:val="0"/>
          <w:kern w:val="32"/>
          <w:sz w:val="30"/>
          <w:szCs w:val="30"/>
          <w:lang w:val="en-US" w:eastAsia="zh-CN" w:bidi="ar-SA"/>
        </w:rPr>
        <w:t>daptation of common signal/channel transmission</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Adaptation of SSB in time domain</w:t>
      </w:r>
    </w:p>
    <w:p>
      <w:pPr>
        <w:spacing w:before="0" w:beforeLines="50" w:after="0" w:afterLines="50" w:line="360" w:lineRule="auto"/>
        <w:jc w:val="both"/>
        <w:rPr>
          <w:rFonts w:hint="default"/>
          <w:b w:val="0"/>
          <w:bCs w:val="0"/>
          <w:sz w:val="20"/>
          <w:szCs w:val="20"/>
          <w:lang w:val="en-US" w:eastAsia="zh-CN"/>
        </w:rPr>
      </w:pPr>
      <w:r>
        <w:rPr>
          <w:rFonts w:hint="default"/>
          <w:b w:val="0"/>
          <w:bCs w:val="0"/>
          <w:sz w:val="20"/>
          <w:szCs w:val="20"/>
          <w:lang w:val="en-US" w:eastAsia="zh-CN"/>
        </w:rPr>
        <w:t>In this section, we mainly discuss the type of SSB</w:t>
      </w:r>
      <w:r>
        <w:rPr>
          <w:rFonts w:hint="eastAsia"/>
          <w:b w:val="0"/>
          <w:bCs w:val="0"/>
          <w:sz w:val="20"/>
          <w:szCs w:val="20"/>
          <w:lang w:val="en-US" w:eastAsia="zh-CN"/>
        </w:rPr>
        <w:t>.</w:t>
      </w:r>
    </w:p>
    <w:p>
      <w:pPr>
        <w:spacing w:before="0" w:beforeLines="50" w:after="0" w:afterLines="50" w:line="360" w:lineRule="auto"/>
        <w:jc w:val="both"/>
        <w:rPr>
          <w:rFonts w:hint="default"/>
          <w:lang w:val="en-US" w:eastAsia="zh-CN"/>
        </w:rPr>
      </w:pPr>
      <w:r>
        <w:rPr>
          <w:rFonts w:hint="eastAsia"/>
          <w:b w:val="0"/>
          <w:bCs w:val="0"/>
          <w:sz w:val="20"/>
          <w:szCs w:val="20"/>
          <w:lang w:val="en-US" w:eastAsia="zh-CN"/>
        </w:rPr>
        <w:t>R</w:t>
      </w:r>
      <w:r>
        <w:rPr>
          <w:rFonts w:hint="default"/>
          <w:b w:val="0"/>
          <w:bCs w:val="0"/>
          <w:sz w:val="20"/>
          <w:szCs w:val="20"/>
          <w:lang w:val="en-US" w:eastAsia="zh-CN"/>
        </w:rPr>
        <w:t>egarding the type of SSB, the previous meeting</w:t>
      </w:r>
      <w:r>
        <w:rPr>
          <w:rFonts w:hint="eastAsia"/>
          <w:b w:val="0"/>
          <w:bCs w:val="0"/>
          <w:sz w:val="20"/>
          <w:szCs w:val="20"/>
          <w:lang w:val="en-US" w:eastAsia="zh-CN"/>
        </w:rPr>
        <w:t>s</w:t>
      </w:r>
      <w:r>
        <w:rPr>
          <w:rFonts w:hint="default"/>
          <w:b w:val="0"/>
          <w:bCs w:val="0"/>
          <w:sz w:val="20"/>
          <w:szCs w:val="20"/>
          <w:lang w:val="en-US" w:eastAsia="zh-CN"/>
        </w:rPr>
        <w:t xml:space="preserve"> reached the following agreement: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0"/>
                <w:szCs w:val="20"/>
                <w:highlight w:val="green"/>
                <w:lang w:val="en-US" w:eastAsia="zh-CN"/>
              </w:rPr>
            </w:pPr>
            <w:r>
              <w:rPr>
                <w:rFonts w:hint="eastAsia"/>
                <w:sz w:val="20"/>
                <w:szCs w:val="20"/>
                <w:highlight w:val="green"/>
                <w:lang w:val="en-US" w:eastAsia="zh-CN"/>
              </w:rPr>
              <w:t xml:space="preserve"> </w:t>
            </w:r>
            <w:r>
              <w:rPr>
                <w:rFonts w:hint="eastAsia"/>
                <w:sz w:val="20"/>
                <w:szCs w:val="20"/>
                <w:highlight w:val="green"/>
                <w:lang w:eastAsia="zh-CN"/>
              </w:rPr>
              <w:t>Agreement</w:t>
            </w:r>
            <w:r>
              <w:rPr>
                <w:rFonts w:hint="eastAsia"/>
                <w:sz w:val="20"/>
                <w:szCs w:val="20"/>
                <w:highlight w:val="green"/>
                <w:lang w:val="en-US" w:eastAsia="zh-CN"/>
              </w:rPr>
              <w:t>(RAN1#116bis meeting)</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r>
              <w:rPr>
                <w:rFonts w:hint="eastAsia"/>
                <w:sz w:val="20"/>
                <w:szCs w:val="20"/>
              </w:rPr>
              <w:t xml:space="preserve">Adaptation mechanism(s) of SSB in time-domain is supported at least for one of the following scenario(s): </w:t>
            </w:r>
          </w:p>
          <w:p>
            <w:pPr>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For cell with both legacy UEs and Rel-19 NES-capable UEs </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Rel-19 NES-capable UE</w:t>
            </w:r>
            <w:r>
              <w:rPr>
                <w:rFonts w:hint="default"/>
                <w:sz w:val="20"/>
                <w:szCs w:val="20"/>
                <w:lang w:val="en-US" w:eastAsia="zh-CN"/>
              </w:rPr>
              <w:t>’</w:t>
            </w:r>
            <w:r>
              <w:rPr>
                <w:rFonts w:hint="eastAsia" w:ascii="Times New Roman" w:hAnsi="Times New Roman"/>
                <w:sz w:val="20"/>
                <w:szCs w:val="20"/>
                <w:lang w:eastAsia="zh-CN"/>
              </w:rPr>
              <w:t xml:space="preserve">s PCell (Connected mode) </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A1: adaptation for CD-SSB</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A2: adaptation for SSB that is not CD-SSB</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A3: adaptation for SSB not on sync raster</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Rel-19 NES-capable UE</w:t>
            </w:r>
            <w:r>
              <w:rPr>
                <w:rFonts w:hint="default"/>
                <w:sz w:val="20"/>
                <w:szCs w:val="20"/>
                <w:lang w:val="en-US" w:eastAsia="zh-CN"/>
              </w:rPr>
              <w:t>’</w:t>
            </w:r>
            <w:r>
              <w:rPr>
                <w:rFonts w:hint="eastAsia" w:ascii="Times New Roman" w:hAnsi="Times New Roman"/>
                <w:sz w:val="20"/>
                <w:szCs w:val="20"/>
                <w:lang w:eastAsia="zh-CN"/>
              </w:rPr>
              <w:t xml:space="preserve">s SCell </w:t>
            </w:r>
          </w:p>
          <w:p>
            <w:pPr>
              <w:keepNext w:val="0"/>
              <w:keepLines w:val="0"/>
              <w:widowControl/>
              <w:numPr>
                <w:ilvl w:val="2"/>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Study from the following options:</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B1: adaptation for CD-SSB</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B2: adaptation for SSB that is not CD-SSB</w:t>
            </w:r>
          </w:p>
          <w:p>
            <w:pPr>
              <w:keepNext w:val="0"/>
              <w:keepLines w:val="0"/>
              <w:widowControl/>
              <w:numPr>
                <w:ilvl w:val="3"/>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Option B3: adaptation for SSB not on sync raster</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fr-FR" w:eastAsia="zh-CN"/>
              </w:rPr>
            </w:pPr>
            <w:r>
              <w:rPr>
                <w:rFonts w:hint="eastAsia" w:ascii="Times New Roman" w:hAnsi="Times New Roman"/>
                <w:sz w:val="20"/>
                <w:szCs w:val="20"/>
                <w:lang w:val="fr-FR" w:eastAsia="zh-CN"/>
              </w:rPr>
              <w:t>FFS: Rel-19 NES-capable UE in idle/inactive mode</w:t>
            </w:r>
          </w:p>
          <w:p>
            <w:pPr>
              <w:keepNext w:val="0"/>
              <w:keepLines w:val="0"/>
              <w:widowControl/>
              <w:numPr>
                <w:ilvl w:val="1"/>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Note: Impact to idle/inactive UEs shall be minimized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
                <w:szCs w:val="2"/>
                <w:vertAlign w:val="baseline"/>
                <w:lang w:val="en-US" w:eastAsia="zh-CN"/>
              </w:rPr>
            </w:pP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eastAsia" w:ascii="Times New Roman" w:hAnsi="Times New Roman" w:cs="Times New Roman" w:eastAsiaTheme="minorEastAsia"/>
                <w:b/>
                <w:bCs/>
                <w:kern w:val="2"/>
                <w:sz w:val="20"/>
                <w:szCs w:val="20"/>
                <w:highlight w:val="green"/>
                <w:lang w:val="en-US" w:eastAsia="zh-CN"/>
              </w:rPr>
            </w:pPr>
            <w:r>
              <w:rPr>
                <w:rFonts w:hint="eastAsia" w:ascii="Times New Roman" w:hAnsi="Times New Roman" w:cs="Times New Roman" w:eastAsiaTheme="minorEastAsia"/>
                <w:b/>
                <w:bCs/>
                <w:kern w:val="2"/>
                <w:sz w:val="20"/>
                <w:szCs w:val="20"/>
                <w:highlight w:val="green"/>
                <w:lang w:val="en-US" w:eastAsia="zh-CN"/>
              </w:rPr>
              <w:t>Agreement</w:t>
            </w:r>
            <w:r>
              <w:rPr>
                <w:rFonts w:hint="default" w:ascii="Times New Roman" w:hAnsi="Times New Roman" w:cs="Times New Roman" w:eastAsiaTheme="minorEastAsia"/>
                <w:b/>
                <w:bCs/>
                <w:kern w:val="2"/>
                <w:sz w:val="20"/>
                <w:szCs w:val="20"/>
                <w:highlight w:val="green"/>
                <w:lang w:val="en-US" w:eastAsia="zh-CN"/>
              </w:rPr>
              <w:t>(RAN1#118meeting)</w:t>
            </w:r>
          </w:p>
          <w:p>
            <w:pPr>
              <w:keepNext w:val="0"/>
              <w:keepLines w:val="0"/>
              <w:widowControl w:val="0"/>
              <w:suppressLineNumbers w:val="0"/>
              <w:overflowPunct w:val="0"/>
              <w:autoSpaceDE w:val="0"/>
              <w:autoSpaceDN w:val="0"/>
              <w:adjustRightInd w:val="0"/>
              <w:spacing w:before="0" w:beforeAutospacing="0" w:after="0" w:afterAutospacing="0" w:line="360" w:lineRule="auto"/>
              <w:ind w:left="0" w:right="0" w:firstLine="0"/>
              <w:jc w:val="both"/>
              <w:textAlignment w:val="baseline"/>
              <w:rPr>
                <w:rFonts w:hint="default"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For adaptation mechanism(s) of SSB in time-domain,</w:t>
            </w:r>
          </w:p>
          <w:p>
            <w:pPr>
              <w:keepNext w:val="0"/>
              <w:keepLines w:val="0"/>
              <w:widowControl w:val="0"/>
              <w:numPr>
                <w:ilvl w:val="0"/>
                <w:numId w:val="7"/>
              </w:numPr>
              <w:suppressLineNumbers w:val="0"/>
              <w:overflowPunct w:val="0"/>
              <w:autoSpaceDE w:val="0"/>
              <w:autoSpaceDN w:val="0"/>
              <w:adjustRightInd w:val="0"/>
              <w:spacing w:before="0" w:beforeAutospacing="0" w:after="0" w:afterAutospacing="0" w:line="360" w:lineRule="auto"/>
              <w:ind w:left="108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For Rel-19 NES-capable UE</w:t>
            </w:r>
            <w:r>
              <w:rPr>
                <w:rFonts w:hint="default" w:cs="Times New Roman" w:eastAsiaTheme="minorEastAsia"/>
                <w:kern w:val="2"/>
                <w:sz w:val="20"/>
                <w:szCs w:val="20"/>
                <w:lang w:val="en-US" w:eastAsia="zh-CN"/>
              </w:rPr>
              <w:t>’</w:t>
            </w:r>
            <w:r>
              <w:rPr>
                <w:rFonts w:hint="eastAsia" w:ascii="Times New Roman" w:hAnsi="Times New Roman" w:cs="Times New Roman" w:eastAsiaTheme="minorEastAsia"/>
                <w:kern w:val="2"/>
                <w:sz w:val="20"/>
                <w:szCs w:val="20"/>
                <w:lang w:val="en-US" w:eastAsia="zh-CN"/>
              </w:rPr>
              <w:t xml:space="preserve">s PCell (Connected mode), adaptation of CD-SSB on sync raster is not supported </w:t>
            </w:r>
          </w:p>
          <w:p>
            <w:pPr>
              <w:keepNext w:val="0"/>
              <w:keepLines w:val="0"/>
              <w:widowControl w:val="0"/>
              <w:numPr>
                <w:ilvl w:val="1"/>
                <w:numId w:val="7"/>
              </w:numPr>
              <w:suppressLineNumbers w:val="0"/>
              <w:overflowPunct w:val="0"/>
              <w:autoSpaceDE w:val="0"/>
              <w:autoSpaceDN w:val="0"/>
              <w:adjustRightInd w:val="0"/>
              <w:spacing w:before="0" w:beforeAutospacing="0" w:after="0" w:afterAutospacing="0" w:line="360" w:lineRule="auto"/>
              <w:ind w:left="180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FFS: Adaptation for SSB that is not CD-SSB is supported (A2)</w:t>
            </w:r>
          </w:p>
          <w:p>
            <w:pPr>
              <w:keepNext w:val="0"/>
              <w:keepLines w:val="0"/>
              <w:widowControl w:val="0"/>
              <w:numPr>
                <w:ilvl w:val="1"/>
                <w:numId w:val="7"/>
              </w:numPr>
              <w:suppressLineNumbers w:val="0"/>
              <w:overflowPunct w:val="0"/>
              <w:autoSpaceDE w:val="0"/>
              <w:autoSpaceDN w:val="0"/>
              <w:adjustRightInd w:val="0"/>
              <w:spacing w:before="0" w:beforeAutospacing="0" w:after="0" w:afterAutospacing="0" w:line="360" w:lineRule="auto"/>
              <w:ind w:left="180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FFS: Adaptation for SSB not on sync raster is supported (A3)</w:t>
            </w:r>
          </w:p>
          <w:p>
            <w:pPr>
              <w:keepNext w:val="0"/>
              <w:keepLines w:val="0"/>
              <w:widowControl w:val="0"/>
              <w:numPr>
                <w:ilvl w:val="0"/>
                <w:numId w:val="7"/>
              </w:numPr>
              <w:suppressLineNumbers w:val="0"/>
              <w:overflowPunct w:val="0"/>
              <w:autoSpaceDE w:val="0"/>
              <w:autoSpaceDN w:val="0"/>
              <w:adjustRightInd w:val="0"/>
              <w:spacing w:beforeAutospacing="0" w:afterAutospacing="0" w:line="360" w:lineRule="auto"/>
              <w:ind w:left="1080" w:leftChars="0" w:right="0" w:hanging="360"/>
              <w:contextualSpacing/>
              <w:jc w:val="both"/>
              <w:textAlignment w:val="baseline"/>
              <w:rPr>
                <w:rFonts w:hint="eastAsia" w:ascii="Times New Roman" w:hAnsi="Times New Roman" w:cs="Times New Roman" w:eastAsiaTheme="minorEastAsia"/>
                <w:kern w:val="2"/>
                <w:sz w:val="20"/>
                <w:szCs w:val="20"/>
                <w:lang w:val="en-US" w:eastAsia="zh-CN" w:bidi="ar-SA"/>
              </w:rPr>
            </w:pPr>
            <w:r>
              <w:rPr>
                <w:rFonts w:hint="eastAsia" w:ascii="Times New Roman" w:hAnsi="Times New Roman" w:cs="Times New Roman" w:eastAsiaTheme="minorEastAsia"/>
                <w:kern w:val="2"/>
                <w:sz w:val="20"/>
                <w:szCs w:val="20"/>
                <w:lang w:val="en-US" w:eastAsia="zh-CN" w:bidi="ar-SA"/>
              </w:rPr>
              <w:t>For Rel-19 NES-capable UE</w:t>
            </w:r>
            <w:r>
              <w:rPr>
                <w:rFonts w:hint="default" w:cs="Times New Roman" w:eastAsiaTheme="minorEastAsia"/>
                <w:kern w:val="2"/>
                <w:sz w:val="20"/>
                <w:szCs w:val="20"/>
                <w:lang w:val="en-US" w:eastAsia="zh-CN" w:bidi="ar-SA"/>
              </w:rPr>
              <w:t>’</w:t>
            </w:r>
            <w:r>
              <w:rPr>
                <w:rFonts w:hint="eastAsia" w:ascii="Times New Roman" w:hAnsi="Times New Roman" w:cs="Times New Roman" w:eastAsiaTheme="minorEastAsia"/>
                <w:kern w:val="2"/>
                <w:sz w:val="20"/>
                <w:szCs w:val="20"/>
                <w:lang w:val="en-US" w:eastAsia="zh-CN" w:bidi="ar-SA"/>
              </w:rPr>
              <w:t>s SCell</w:t>
            </w:r>
          </w:p>
          <w:p>
            <w:pPr>
              <w:keepNext w:val="0"/>
              <w:keepLines w:val="0"/>
              <w:widowControl w:val="0"/>
              <w:numPr>
                <w:ilvl w:val="1"/>
                <w:numId w:val="7"/>
              </w:numPr>
              <w:suppressLineNumbers w:val="0"/>
              <w:overflowPunct w:val="0"/>
              <w:autoSpaceDE w:val="0"/>
              <w:autoSpaceDN w:val="0"/>
              <w:adjustRightInd w:val="0"/>
              <w:spacing w:before="0" w:beforeAutospacing="0" w:after="0" w:afterAutospacing="0" w:line="360" w:lineRule="auto"/>
              <w:ind w:left="180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Adaptation of SSB configured for the SCell is supported for the following cases</w:t>
            </w:r>
          </w:p>
          <w:p>
            <w:pPr>
              <w:keepNext w:val="0"/>
              <w:keepLines w:val="0"/>
              <w:widowControl w:val="0"/>
              <w:numPr>
                <w:ilvl w:val="2"/>
                <w:numId w:val="7"/>
              </w:numPr>
              <w:suppressLineNumbers w:val="0"/>
              <w:overflowPunct w:val="0"/>
              <w:autoSpaceDE w:val="0"/>
              <w:autoSpaceDN w:val="0"/>
              <w:adjustRightInd w:val="0"/>
              <w:spacing w:before="0" w:beforeAutospacing="0" w:after="0" w:afterAutospacing="0" w:line="360" w:lineRule="auto"/>
              <w:ind w:left="252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FFS: Adaptation for CD-SSB (B1) including UE impact compared to legacy operation where the SSB is configured with periodicity&gt;20msec for SCell</w:t>
            </w:r>
          </w:p>
          <w:p>
            <w:pPr>
              <w:keepNext w:val="0"/>
              <w:keepLines w:val="0"/>
              <w:widowControl w:val="0"/>
              <w:numPr>
                <w:ilvl w:val="2"/>
                <w:numId w:val="7"/>
              </w:numPr>
              <w:suppressLineNumbers w:val="0"/>
              <w:overflowPunct w:val="0"/>
              <w:autoSpaceDE w:val="0"/>
              <w:autoSpaceDN w:val="0"/>
              <w:adjustRightInd w:val="0"/>
              <w:spacing w:before="0" w:beforeAutospacing="0" w:after="0" w:afterAutospacing="0" w:line="360" w:lineRule="auto"/>
              <w:ind w:left="252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Adaptation for SSB that is not CD-SSB on sync raster (B2’)</w:t>
            </w:r>
          </w:p>
          <w:p>
            <w:pPr>
              <w:keepNext w:val="0"/>
              <w:keepLines w:val="0"/>
              <w:widowControl w:val="0"/>
              <w:numPr>
                <w:ilvl w:val="2"/>
                <w:numId w:val="7"/>
              </w:numPr>
              <w:suppressLineNumbers w:val="0"/>
              <w:overflowPunct w:val="0"/>
              <w:autoSpaceDE w:val="0"/>
              <w:autoSpaceDN w:val="0"/>
              <w:adjustRightInd w:val="0"/>
              <w:spacing w:before="0" w:beforeAutospacing="0" w:after="0" w:afterAutospacing="0" w:line="360" w:lineRule="auto"/>
              <w:ind w:left="2520" w:right="0" w:hanging="360"/>
              <w:jc w:val="both"/>
              <w:textAlignment w:val="baseline"/>
              <w:rPr>
                <w:rFonts w:hint="eastAsia" w:ascii="Times New Roman" w:hAnsi="Times New Roman" w:cs="Times New Roman" w:eastAsiaTheme="minorEastAsia"/>
                <w:kern w:val="2"/>
                <w:sz w:val="20"/>
                <w:szCs w:val="20"/>
                <w:lang w:val="en-US" w:eastAsia="zh-CN"/>
              </w:rPr>
            </w:pPr>
            <w:r>
              <w:rPr>
                <w:rFonts w:hint="eastAsia" w:ascii="Times New Roman" w:hAnsi="Times New Roman" w:cs="Times New Roman" w:eastAsiaTheme="minorEastAsia"/>
                <w:kern w:val="2"/>
                <w:sz w:val="20"/>
                <w:szCs w:val="20"/>
                <w:lang w:val="en-US" w:eastAsia="zh-CN"/>
              </w:rPr>
              <w:t>Adaptation for SSB that is not CD-SSB not on sync raster (B3’)</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
                <w:szCs w:val="2"/>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First, since a Scell may be both a Pcell of a legacy UEs and a Pcell of a Rel-19 NES-capable UE. If Rel-19 NES-capable UE’s SCell supports adaptation of CD-SSB on sync raster, some UEs may not be able to stay on this cell. Therefore, adaptation of CD-SSB on sync raster is not supported for Rel-19 NES-capable UE</w:t>
      </w:r>
      <w:r>
        <w:rPr>
          <w:rFonts w:hint="default"/>
          <w:lang w:val="en-US" w:eastAsia="zh-CN"/>
        </w:rPr>
        <w:t>’</w:t>
      </w:r>
      <w:r>
        <w:rPr>
          <w:rFonts w:hint="eastAsia"/>
          <w:lang w:val="en-US" w:eastAsia="zh-CN"/>
        </w:rPr>
        <w:t>s SCell.</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1</w:t>
      </w:r>
      <w:r>
        <w:rPr>
          <w:rFonts w:hint="default"/>
          <w:b/>
          <w:sz w:val="20"/>
          <w:szCs w:val="20"/>
          <w:lang w:val="en-US" w:eastAsia="zh-CN"/>
        </w:rPr>
        <w:t xml:space="preserve"> </w:t>
      </w:r>
      <w:r>
        <w:rPr>
          <w:rFonts w:hint="eastAsia"/>
          <w:b/>
          <w:sz w:val="20"/>
          <w:szCs w:val="20"/>
          <w:lang w:val="en-US" w:eastAsia="zh-CN"/>
        </w:rPr>
        <w:t xml:space="preserve"> For Rel-19 NES-capable UE</w:t>
      </w:r>
      <w:r>
        <w:rPr>
          <w:rFonts w:hint="default"/>
          <w:b/>
          <w:sz w:val="20"/>
          <w:szCs w:val="20"/>
          <w:lang w:val="en-US" w:eastAsia="zh-CN"/>
        </w:rPr>
        <w:t>’</w:t>
      </w:r>
      <w:r>
        <w:rPr>
          <w:rFonts w:hint="eastAsia"/>
          <w:b/>
          <w:sz w:val="20"/>
          <w:szCs w:val="20"/>
          <w:lang w:val="en-US" w:eastAsia="zh-CN"/>
        </w:rPr>
        <w:t>s SCell，adaptation of CD-SSB on sync raster is not supported.</w:t>
      </w:r>
    </w:p>
    <w:p>
      <w:pPr>
        <w:spacing w:before="0" w:beforeLines="50" w:after="0" w:afterLines="50" w:line="360" w:lineRule="auto"/>
        <w:jc w:val="both"/>
        <w:rPr>
          <w:rFonts w:hint="default"/>
          <w:lang w:val="en-US" w:eastAsia="zh-CN"/>
        </w:rPr>
      </w:pPr>
      <w:r>
        <w:rPr>
          <w:rFonts w:hint="default"/>
          <w:lang w:val="en-US" w:eastAsia="zh-CN"/>
        </w:rPr>
        <w:t xml:space="preserve">Second, for Rel-19 NES-capable UEs in idle/active mode, since they usually operate on the initial BWP, the SSB they mainly use is CD-SSB. In other words, if Rel-19 NES-capable UEs in idle/active mode support SSB adaptation, the SSB adaptation should be mainly target CD-SSB adaptation. However, as discussed above, CD-SSB adaptation should not be supported in </w:t>
      </w:r>
      <w:r>
        <w:rPr>
          <w:rFonts w:hint="eastAsia"/>
          <w:lang w:val="en-US" w:eastAsia="zh-CN"/>
        </w:rPr>
        <w:t xml:space="preserve">both </w:t>
      </w:r>
      <w:r>
        <w:rPr>
          <w:rFonts w:hint="default" w:ascii="Times New Roman" w:hAnsi="Times New Roman"/>
          <w:sz w:val="20"/>
          <w:szCs w:val="20"/>
          <w:lang w:val="en-US" w:eastAsia="zh-CN"/>
        </w:rPr>
        <w:t>idle/inactive</w:t>
      </w:r>
      <w:r>
        <w:rPr>
          <w:rFonts w:hint="eastAsia"/>
          <w:sz w:val="20"/>
          <w:szCs w:val="20"/>
          <w:lang w:val="en-US" w:eastAsia="zh-CN"/>
        </w:rPr>
        <w:t xml:space="preserve"> mode and</w:t>
      </w:r>
      <w:r>
        <w:rPr>
          <w:rFonts w:hint="eastAsia"/>
          <w:lang w:val="en-US" w:eastAsia="zh-CN"/>
        </w:rPr>
        <w:t xml:space="preserve"> </w:t>
      </w:r>
      <w:r>
        <w:rPr>
          <w:rFonts w:hint="default"/>
          <w:lang w:val="en-US" w:eastAsia="zh-CN"/>
        </w:rPr>
        <w:t>connected mode. Therefore, Rel-19 NES-capable UEs in idle/inactive mode should not support SSB adaptation.</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2</w:t>
      </w:r>
      <w:r>
        <w:rPr>
          <w:rFonts w:hint="default"/>
          <w:b/>
          <w:sz w:val="20"/>
          <w:szCs w:val="20"/>
          <w:lang w:val="en-US" w:eastAsia="zh-CN"/>
        </w:rPr>
        <w:t xml:space="preserve"> </w:t>
      </w:r>
      <w:r>
        <w:rPr>
          <w:rFonts w:hint="eastAsia"/>
          <w:b/>
          <w:sz w:val="20"/>
          <w:szCs w:val="20"/>
          <w:lang w:val="en-US" w:eastAsia="zh-CN"/>
        </w:rPr>
        <w:t xml:space="preserve"> </w:t>
      </w:r>
      <w:r>
        <w:rPr>
          <w:rFonts w:hint="default"/>
          <w:b/>
          <w:sz w:val="20"/>
          <w:szCs w:val="20"/>
          <w:lang w:val="en-US" w:eastAsia="zh-CN"/>
        </w:rPr>
        <w:t>SSB adaptation of Rel-19 NES-capable UEs in idle/inactive mode should not be supported.</w:t>
      </w:r>
    </w:p>
    <w:p>
      <w:pPr>
        <w:pStyle w:val="3"/>
        <w:spacing w:before="0" w:beforeLines="50" w:after="0" w:afterLines="50" w:line="360" w:lineRule="auto"/>
        <w:ind w:left="573" w:hanging="573"/>
        <w:rPr>
          <w:rFonts w:hint="default"/>
          <w:b w:val="0"/>
          <w:bCs w:val="0"/>
          <w:sz w:val="30"/>
          <w:szCs w:val="30"/>
          <w:lang w:val="en-US" w:eastAsia="zh-CN"/>
        </w:rPr>
      </w:pPr>
      <w:r>
        <w:rPr>
          <w:rFonts w:hint="default"/>
          <w:b w:val="0"/>
          <w:bCs w:val="0"/>
          <w:sz w:val="30"/>
          <w:szCs w:val="30"/>
          <w:lang w:val="en-US" w:eastAsia="zh-CN"/>
        </w:rPr>
        <w:t xml:space="preserve">Adaptation of PRACH </w:t>
      </w:r>
    </w:p>
    <w:p>
      <w:pPr>
        <w:spacing w:before="0" w:beforeLines="50" w:after="0" w:afterLines="50" w:line="360" w:lineRule="auto"/>
        <w:jc w:val="both"/>
        <w:rPr>
          <w:rFonts w:hint="default"/>
          <w:sz w:val="20"/>
          <w:szCs w:val="20"/>
          <w:lang w:val="en-US" w:eastAsia="zh-CN"/>
        </w:rPr>
      </w:pPr>
      <w:r>
        <w:rPr>
          <w:rFonts w:hint="default"/>
          <w:sz w:val="20"/>
          <w:szCs w:val="20"/>
          <w:lang w:val="en-US" w:eastAsia="zh-CN"/>
        </w:rPr>
        <w:t>RAN1#11</w:t>
      </w:r>
      <w:r>
        <w:rPr>
          <w:rFonts w:hint="eastAsia"/>
          <w:sz w:val="20"/>
          <w:szCs w:val="20"/>
          <w:lang w:val="en-US" w:eastAsia="zh-CN"/>
        </w:rPr>
        <w:t>8bis</w:t>
      </w:r>
      <w:r>
        <w:rPr>
          <w:rFonts w:hint="default"/>
          <w:sz w:val="20"/>
          <w:szCs w:val="20"/>
          <w:lang w:val="en-US" w:eastAsia="zh-CN"/>
        </w:rPr>
        <w:t xml:space="preserve"> meeting reached the following agreement</w:t>
      </w:r>
      <w:r>
        <w:rPr>
          <w:rFonts w:hint="eastAsia"/>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eastAsia="宋体"/>
                <w:sz w:val="20"/>
                <w:szCs w:val="20"/>
                <w:lang w:val="en-US" w:eastAsia="zh-CN"/>
              </w:rPr>
            </w:pPr>
            <w:r>
              <w:rPr>
                <w:rFonts w:hint="eastAsia" w:ascii="Times New Roman" w:hAnsi="Times New Roman"/>
                <w:sz w:val="20"/>
                <w:szCs w:val="20"/>
                <w:highlight w:val="green"/>
                <w:lang w:val="en-US"/>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PRACH in time-domain, support both of the following </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Alt 1: The PRACH configuration index for the additional PRACH resources is same as the PRACH configuration index for the legacy resources </w:t>
            </w:r>
          </w:p>
          <w:p>
            <w:pPr>
              <w:keepNext w:val="0"/>
              <w:keepLines w:val="0"/>
              <w:widowControl/>
              <w:numPr>
                <w:ilvl w:val="0"/>
                <w:numId w:val="3"/>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Alt 2: The PRACH configuration ind</w:t>
            </w:r>
            <w:r>
              <w:rPr>
                <w:rFonts w:hint="eastAsia" w:ascii="Times New Roman" w:hAnsi="Times New Roman"/>
                <w:sz w:val="20"/>
                <w:szCs w:val="20"/>
                <w:lang w:val="en-US" w:eastAsia="zh-CN"/>
              </w:rPr>
              <w:t>`</w:t>
            </w:r>
            <w:r>
              <w:rPr>
                <w:rFonts w:hint="eastAsia" w:ascii="Times New Roman" w:hAnsi="Times New Roman"/>
                <w:sz w:val="20"/>
                <w:szCs w:val="20"/>
                <w:lang w:val="en-US"/>
              </w:rPr>
              <w:t>ex for the additional PRACH resources is different from the PRACH configuration index for the legacy resources</w:t>
            </w:r>
          </w:p>
          <w:p>
            <w:pPr>
              <w:keepNext w:val="0"/>
              <w:keepLines w:val="0"/>
              <w:widowControl/>
              <w:numPr>
                <w:ilvl w:val="0"/>
                <w:numId w:val="3"/>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Additional details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8"/>
                <w:szCs w:val="28"/>
                <w:vertAlign w:val="baseline"/>
                <w:lang w:val="en-US"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PRACH in time-domain, for determining the additional PRACH resources in time-domain, </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For Alt 1 (same PRACH configuration index for additional and legacy PRACH resources), select one or more of the following additional mechanism(s),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1-2a: up to N1 additional value(s) of (x, y)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N1(&gt;=1)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1-2b: up to N2 additional value(s) of y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N2 (&gt;=1)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1-3: Muting/masking ROs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1-4: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N4_1 additional timing offset(s) at frame-level</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N4_2 additional timing offset(s) at slot-level</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values of N4_1(&gt;=1) and N4_2(&gt;=1)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1-5: No additional mechanism is selected.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Note: x and y refer to the parameters from the random-access configuration tables (from 38.211)</w:t>
            </w:r>
          </w:p>
          <w:p>
            <w:pPr>
              <w:keepNext w:val="0"/>
              <w:keepLines w:val="0"/>
              <w:widowControl/>
              <w:numPr>
                <w:ilvl w:val="0"/>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For Alt 2 (different PRACH configuration index for additional and legacy PRACH resources), select one or more of the following additional mechanism(s),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1-2a: up to N1 additional value(s) of (x, y)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N1(&gt;=1)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1-2b: up to N2 additional value(s) of y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 of N2 (&gt;=1)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1-3: Muting/masking ROs</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 xml:space="preserve">Opt 1-4: </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N4_1 additional timing offset(s) at frame-level</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up to N4_2 additional timing offset(s) at slot-level</w:t>
            </w:r>
          </w:p>
          <w:p>
            <w:pPr>
              <w:keepNext w:val="0"/>
              <w:keepLines w:val="0"/>
              <w:widowControl/>
              <w:numPr>
                <w:ilvl w:val="2"/>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FFS: values of N4_1(&gt;=1) and N4_2(&gt;=1)</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Opt 1-5: No additional mechanism is selected.</w:t>
            </w:r>
          </w:p>
          <w:p>
            <w:pPr>
              <w:keepNext w:val="0"/>
              <w:keepLines w:val="0"/>
              <w:widowControl/>
              <w:numPr>
                <w:ilvl w:val="1"/>
                <w:numId w:val="2"/>
              </w:numPr>
              <w:suppressLineNumbers w:val="0"/>
              <w:overflowPunct w:val="0"/>
              <w:autoSpaceDE w:val="0"/>
              <w:autoSpaceDN w:val="0"/>
              <w:adjustRightInd w:val="0"/>
              <w:spacing w:beforeAutospacing="0" w:afterAutospacing="0"/>
              <w:ind w:right="0"/>
              <w:contextualSpacing/>
              <w:textAlignment w:val="baseline"/>
              <w:rPr>
                <w:rFonts w:hint="eastAsia" w:ascii="Times New Roman" w:hAnsi="Times New Roman"/>
                <w:sz w:val="20"/>
                <w:szCs w:val="20"/>
                <w:lang w:val="en-US"/>
              </w:rPr>
            </w:pPr>
            <w:r>
              <w:rPr>
                <w:rFonts w:hint="eastAsia" w:ascii="Times New Roman" w:hAnsi="Times New Roman"/>
                <w:sz w:val="20"/>
                <w:szCs w:val="20"/>
                <w:lang w:val="en-US"/>
              </w:rPr>
              <w:t>Note: x and y refer to the parameters from the random-access configuration tables (from 38.211)</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sz w:val="28"/>
                <w:szCs w:val="28"/>
                <w:vertAlign w:val="baseline"/>
                <w:lang w:val="en-US" w:eastAsia="zh-CN"/>
              </w:rPr>
            </w:pPr>
          </w:p>
        </w:tc>
      </w:tr>
    </w:tbl>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 xml:space="preserve">According to the above agreement, the PRACH configuration index </w:t>
      </w:r>
      <w:r>
        <w:rPr>
          <w:rFonts w:hint="eastAsia" w:ascii="Times New Roman" w:hAnsi="Times New Roman" w:eastAsia="宋体" w:cs="Times New Roman"/>
          <w:sz w:val="20"/>
          <w:szCs w:val="20"/>
          <w:lang w:val="en-US" w:eastAsia="zh-CN"/>
        </w:rPr>
        <w:t>for</w:t>
      </w:r>
      <w:r>
        <w:rPr>
          <w:rFonts w:hint="eastAsia"/>
          <w:lang w:val="en-US" w:eastAsia="zh-CN"/>
        </w:rPr>
        <w:t xml:space="preserve"> the additional PRACH resources can be the same as or different from the PRACH configuration index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Therefore, we need to analyze how to determine </w:t>
      </w:r>
      <w:r>
        <w:rPr>
          <w:rFonts w:hint="eastAsia" w:ascii="Times New Roman" w:hAnsi="Times New Roman"/>
          <w:sz w:val="20"/>
          <w:szCs w:val="20"/>
        </w:rPr>
        <w:t>the additional PRACH resources in time-domain</w:t>
      </w:r>
      <w:r>
        <w:rPr>
          <w:rFonts w:hint="eastAsia"/>
          <w:lang w:val="en-US" w:eastAsia="zh-CN"/>
        </w:rPr>
        <w:t xml:space="preserve"> in these two cases.</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 xml:space="preserve">First of all, when the PRACH configuration index of the additional PRACH resource is the same </w:t>
      </w:r>
      <w:r>
        <w:rPr>
          <w:rFonts w:hint="default"/>
          <w:lang w:val="en-US" w:eastAsia="zh-CN"/>
        </w:rPr>
        <w:t>as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we can make the following analysis: </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 xml:space="preserve">For Opt 1-2a, since N1 additional values (x, y) can be achieved by configuring different PRACH configuration indexes, Opt 1-2a can be excluded when the PRACH configuration index forthe additional PRACH resource is the same as </w:t>
      </w:r>
      <w:r>
        <w:rPr>
          <w:rFonts w:hint="default"/>
          <w:lang w:val="en-US" w:eastAsia="zh-CN"/>
        </w:rPr>
        <w:t>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 xml:space="preserve">For Opt 1-3, it is mainly used for muting/masking legacy ROs. Therefore, if only Opt 1-3 is used, it will only reduce legacy PRACH resources and will not increase additional PRACH resources. For this reason, Opt 1-3 can also be excluded. </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lang w:val="en-US" w:eastAsia="zh-CN"/>
        </w:rPr>
      </w:pPr>
      <w:r>
        <w:rPr>
          <w:rFonts w:hint="eastAsia"/>
          <w:lang w:val="en-US" w:eastAsia="zh-CN"/>
        </w:rPr>
        <w:t>For Opt 1-2b, this option is mainly used to configure multiple periods for additional PRACH resources. For Opt 1-4, this option is mainly used to configure multiple radio frames and multiple slots where the additional PRACH resources are located. In summary, combining Opt 1-2b and Opt 1-4 to determine additional PRACH resources can not only ensure that the additional PRACH resources do not overlap with legacy PRACH resources, but also ensure the flexibility of the configuration of the additional PRACH resource configuration.</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3</w:t>
      </w:r>
      <w:r>
        <w:rPr>
          <w:rFonts w:hint="default"/>
          <w:b/>
          <w:sz w:val="20"/>
          <w:szCs w:val="20"/>
          <w:lang w:val="en-US" w:eastAsia="zh-CN"/>
        </w:rPr>
        <w:t xml:space="preserve"> </w:t>
      </w:r>
      <w:r>
        <w:rPr>
          <w:rFonts w:hint="eastAsia"/>
          <w:b/>
          <w:sz w:val="20"/>
          <w:szCs w:val="20"/>
          <w:lang w:val="en-US" w:eastAsia="zh-CN"/>
        </w:rPr>
        <w:t>When the PRACH configuration index for additional PRACH resources is the same as the PRACH configuration index for legacy PRACH resources, a combination of Opt 1-2b and Opt 1-4 should be considered to determine additional PRACH resources.</w:t>
      </w:r>
    </w:p>
    <w:p>
      <w:pPr>
        <w:spacing w:before="0" w:beforeLines="50" w:after="0" w:afterLines="50" w:line="360" w:lineRule="auto"/>
        <w:jc w:val="both"/>
        <w:rPr>
          <w:rFonts w:hint="eastAsia"/>
          <w:lang w:val="en-US" w:eastAsia="zh-CN"/>
        </w:rPr>
      </w:pPr>
      <w:r>
        <w:rPr>
          <w:rFonts w:hint="eastAsia"/>
          <w:lang w:val="en-US" w:eastAsia="zh-CN"/>
        </w:rPr>
        <w:t>Second, when the PRACH configuration index for the additional PRACH resource is different from</w:t>
      </w:r>
      <w:r>
        <w:rPr>
          <w:rFonts w:hint="default"/>
          <w:lang w:val="en-US" w:eastAsia="zh-CN"/>
        </w:rPr>
        <w:t xml:space="preserve">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we can make the following analysis:</w:t>
      </w:r>
    </w:p>
    <w:p>
      <w:pPr>
        <w:spacing w:before="0" w:beforeLines="50" w:after="0" w:afterLines="50" w:line="360" w:lineRule="auto"/>
        <w:jc w:val="both"/>
        <w:rPr>
          <w:rFonts w:hint="default"/>
          <w:lang w:val="en-US" w:eastAsia="zh-CN"/>
        </w:rPr>
      </w:pPr>
      <w:r>
        <w:rPr>
          <w:rFonts w:hint="eastAsia"/>
          <w:lang w:val="en-US" w:eastAsia="zh-CN"/>
        </w:rPr>
        <w:t>For Opt 1-2a,  since different PRACH configuration indexes can achieve this naturally, this option can be excluded.</w:t>
      </w:r>
    </w:p>
    <w:p>
      <w:pPr>
        <w:numPr>
          <w:ilvl w:val="0"/>
          <w:numId w:val="0"/>
        </w:numPr>
        <w:spacing w:before="0" w:beforeLines="50" w:after="0" w:afterLines="50" w:line="360" w:lineRule="auto"/>
        <w:jc w:val="both"/>
        <w:rPr>
          <w:rFonts w:hint="eastAsia"/>
          <w:lang w:val="en-US" w:eastAsia="zh-CN"/>
        </w:rPr>
      </w:pPr>
      <w:r>
        <w:rPr>
          <w:rFonts w:hint="eastAsia"/>
          <w:lang w:val="en-US" w:eastAsia="zh-CN"/>
        </w:rPr>
        <w:t>For Opt 1-3, the same analysis applies when the PRACH configuration index for the additional PRACH resource is different from</w:t>
      </w:r>
      <w:r>
        <w:rPr>
          <w:rFonts w:hint="default"/>
          <w:lang w:val="en-US" w:eastAsia="zh-CN"/>
        </w:rPr>
        <w:t xml:space="preserve">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and thus can also be excluded.。</w:t>
      </w:r>
    </w:p>
    <w:p>
      <w:pPr>
        <w:spacing w:before="0" w:beforeLines="50" w:after="0" w:afterLines="50" w:line="360" w:lineRule="auto"/>
        <w:jc w:val="both"/>
        <w:rPr>
          <w:rFonts w:hint="eastAsia"/>
          <w:lang w:val="en-US" w:eastAsia="zh-CN"/>
        </w:rPr>
      </w:pPr>
      <w:r>
        <w:rPr>
          <w:rFonts w:hint="eastAsia"/>
          <w:lang w:val="en-US" w:eastAsia="zh-CN"/>
        </w:rPr>
        <w:t>Further, based on the analysis when the PRACH configuration index of the additional PRACH resource is different from</w:t>
      </w:r>
      <w:r>
        <w:rPr>
          <w:rFonts w:hint="default"/>
          <w:lang w:val="en-US" w:eastAsia="zh-CN"/>
        </w:rPr>
        <w:t xml:space="preserve">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it can also be concluded that when the PRACH configuration index for the additional PRACH resource is different from</w:t>
      </w:r>
      <w:r>
        <w:rPr>
          <w:rFonts w:hint="default"/>
          <w:lang w:val="en-US" w:eastAsia="zh-CN"/>
        </w:rPr>
        <w:t xml:space="preserve"> the PRACH configuration index</w:t>
      </w:r>
      <w:r>
        <w:rPr>
          <w:rFonts w:hint="eastAsia"/>
          <w:lang w:val="en-US" w:eastAsia="zh-CN"/>
        </w:rPr>
        <w:t xml:space="preserve"> </w:t>
      </w:r>
      <w:r>
        <w:rPr>
          <w:rFonts w:hint="eastAsia" w:ascii="Times New Roman" w:hAnsi="Times New Roman" w:eastAsia="宋体" w:cs="Times New Roman"/>
          <w:sz w:val="20"/>
          <w:szCs w:val="20"/>
          <w:lang w:val="en-US" w:eastAsia="zh-CN"/>
        </w:rPr>
        <w:t>for</w:t>
      </w:r>
      <w:r>
        <w:rPr>
          <w:rFonts w:hint="eastAsia"/>
          <w:lang w:val="en-US" w:eastAsia="zh-CN"/>
        </w:rPr>
        <w:t xml:space="preserve"> the </w:t>
      </w:r>
      <w:r>
        <w:rPr>
          <w:rFonts w:hint="eastAsia" w:ascii="Times New Roman" w:hAnsi="Times New Roman" w:eastAsia="宋体" w:cs="Times New Roman"/>
          <w:sz w:val="20"/>
          <w:szCs w:val="20"/>
          <w:lang w:val="en-US" w:eastAsia="zh-CN"/>
        </w:rPr>
        <w:t>legacy</w:t>
      </w:r>
      <w:r>
        <w:rPr>
          <w:rFonts w:hint="eastAsia"/>
          <w:lang w:val="en-US" w:eastAsia="zh-CN"/>
        </w:rPr>
        <w:t xml:space="preserve"> PRACH resource, the additional PRACH resource can be determined by combining Opt 1-2b and Opt 1-4.</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4</w:t>
      </w:r>
      <w:r>
        <w:rPr>
          <w:rFonts w:hint="default"/>
          <w:b/>
          <w:sz w:val="20"/>
          <w:szCs w:val="20"/>
          <w:lang w:val="en-US" w:eastAsia="zh-CN"/>
        </w:rPr>
        <w:t xml:space="preserve"> </w:t>
      </w:r>
      <w:r>
        <w:rPr>
          <w:rFonts w:hint="eastAsia"/>
          <w:b/>
          <w:sz w:val="20"/>
          <w:szCs w:val="20"/>
          <w:lang w:val="en-US" w:eastAsia="zh-CN"/>
        </w:rPr>
        <w:t xml:space="preserve"> When the PRACH configuration index for the additional PRACH resource is different from the PRACH configuration index for the legacy PRACH resource, a combination of Opt 1-2b and Opt 1-4 should be considered to determine additional PRACH resources.</w:t>
      </w:r>
    </w:p>
    <w:p>
      <w:pPr>
        <w:spacing w:before="0" w:beforeLines="50" w:after="0" w:afterLines="50" w:line="360" w:lineRule="auto"/>
        <w:jc w:val="both"/>
        <w:rPr>
          <w:rFonts w:hint="eastAsia"/>
          <w:b/>
          <w:sz w:val="20"/>
          <w:szCs w:val="20"/>
          <w:lang w:val="en-US" w:eastAsia="zh-CN"/>
        </w:rPr>
      </w:pPr>
      <w:r>
        <w:rPr>
          <w:rFonts w:hint="eastAsia"/>
          <w:b w:val="0"/>
          <w:sz w:val="20"/>
          <w:szCs w:val="20"/>
          <w:lang w:val="en-US" w:eastAsia="zh-CN"/>
        </w:rPr>
        <w:t>In RAN1#118bis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For adaptation of PRACH in time-domain, the frequency domain resources for the additional PRACH resources and legacy PRACH resources can be same or different </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FFS: applicable case(s) (i.e. case(s) from the RAN1#117 agreement).</w:t>
            </w:r>
          </w:p>
          <w:p>
            <w:pPr>
              <w:keepNext w:val="0"/>
              <w:keepLines w:val="0"/>
              <w:widowControl/>
              <w:numPr>
                <w:ilvl w:val="0"/>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Discuss further following options for signaling </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Option 1: at least the following parameter(s) can be configured separately for the additional PRACH resources.</w:t>
            </w:r>
          </w:p>
          <w:p>
            <w:pPr>
              <w:keepNext w:val="0"/>
              <w:keepLines w:val="0"/>
              <w:widowControl/>
              <w:numPr>
                <w:ilvl w:val="2"/>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rPr>
              <w:t xml:space="preserve">msg1-FrequencyStart at least for 4-step RACH </w:t>
            </w:r>
          </w:p>
          <w:p>
            <w:pPr>
              <w:keepNext w:val="0"/>
              <w:keepLines w:val="0"/>
              <w:widowControl/>
              <w:numPr>
                <w:ilvl w:val="2"/>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rPr>
            </w:pPr>
            <w:r>
              <w:rPr>
                <w:rFonts w:hint="eastAsia" w:ascii="Times New Roman" w:hAnsi="Times New Roman"/>
                <w:sz w:val="20"/>
                <w:szCs w:val="20"/>
                <w:lang w:eastAsia="zh-CN"/>
              </w:rPr>
              <w:t>FFS: other applicable legacy frequency domain parameter(s)</w:t>
            </w:r>
          </w:p>
          <w:p>
            <w:pPr>
              <w:keepNext w:val="0"/>
              <w:keepLines w:val="0"/>
              <w:widowControl/>
              <w:numPr>
                <w:ilvl w:val="1"/>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rPr>
              <w:t xml:space="preserve">Option 2: </w:t>
            </w:r>
            <w:r>
              <w:rPr>
                <w:rFonts w:hint="eastAsia" w:ascii="Times New Roman" w:hAnsi="Times New Roman"/>
                <w:sz w:val="20"/>
                <w:szCs w:val="20"/>
                <w:lang w:eastAsia="zh-CN"/>
              </w:rPr>
              <w:t>Offset to legacy frequency domain parameter(s) are configured for the additional PRACH resources</w:t>
            </w:r>
          </w:p>
          <w:p>
            <w:pPr>
              <w:keepNext w:val="0"/>
              <w:keepLines w:val="0"/>
              <w:widowControl/>
              <w:numPr>
                <w:ilvl w:val="2"/>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Note: Offset to legacy frequency domain parameter(s) is a new parameter</w:t>
            </w:r>
          </w:p>
          <w:p>
            <w:pPr>
              <w:keepNext w:val="0"/>
              <w:keepLines w:val="0"/>
              <w:widowControl/>
              <w:numPr>
                <w:ilvl w:val="2"/>
                <w:numId w:val="4"/>
              </w:numPr>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FFS: applicable legacy frequency domain parameter(s)</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default"/>
                <w:sz w:val="20"/>
                <w:szCs w:val="20"/>
                <w:vertAlign w:val="baseline"/>
                <w:lang w:val="en-US" w:eastAsia="zh-CN"/>
              </w:rPr>
            </w:pPr>
          </w:p>
        </w:tc>
      </w:tr>
    </w:tbl>
    <w:p>
      <w:pPr>
        <w:spacing w:before="0" w:beforeLines="50" w:after="0" w:afterLines="50" w:line="360" w:lineRule="auto"/>
        <w:jc w:val="both"/>
        <w:rPr>
          <w:rFonts w:hint="default"/>
          <w:szCs w:val="20"/>
          <w:lang w:val="en-US" w:eastAsia="zh-CN"/>
        </w:rPr>
      </w:pPr>
      <w:r>
        <w:rPr>
          <w:rFonts w:hint="default"/>
          <w:szCs w:val="20"/>
          <w:lang w:val="en-US" w:eastAsia="zh-CN"/>
        </w:rPr>
        <w:t>Since  the PRACH configuration index for the additional PRACH resource may be differen</w:t>
      </w:r>
      <w:r>
        <w:rPr>
          <w:rFonts w:hint="eastAsia"/>
          <w:szCs w:val="20"/>
          <w:lang w:val="en-US" w:eastAsia="zh-CN"/>
        </w:rPr>
        <w:t>t</w:t>
      </w:r>
      <w:r>
        <w:rPr>
          <w:rFonts w:hint="default"/>
          <w:szCs w:val="20"/>
          <w:lang w:val="en-US" w:eastAsia="zh-CN"/>
        </w:rPr>
        <w:t xml:space="preserve"> from the PRACH configuration index for the legacy PRACH resource, msg1-FrequencyStart for 4-step RACH or msgA-RO-FrequencyStart for 2-step RACH can be </w:t>
      </w:r>
      <w:r>
        <w:rPr>
          <w:rFonts w:hint="eastAsia" w:ascii="Times New Roman" w:hAnsi="Times New Roman"/>
          <w:sz w:val="20"/>
          <w:szCs w:val="20"/>
        </w:rPr>
        <w:t>configured separately</w:t>
      </w:r>
      <w:r>
        <w:rPr>
          <w:rFonts w:hint="default"/>
          <w:szCs w:val="20"/>
          <w:lang w:val="en-US" w:eastAsia="zh-CN"/>
        </w:rPr>
        <w:t xml:space="preserve"> for the additional PRACH resources. Furthermore, the introduction of a separate</w:t>
      </w:r>
      <w:r>
        <w:rPr>
          <w:rFonts w:hint="eastAsia"/>
          <w:szCs w:val="20"/>
          <w:lang w:val="en-US" w:eastAsia="zh-CN"/>
        </w:rPr>
        <w:t xml:space="preserve"> </w:t>
      </w:r>
      <w:r>
        <w:rPr>
          <w:rFonts w:hint="default"/>
          <w:szCs w:val="20"/>
          <w:lang w:val="en-US" w:eastAsia="zh-CN"/>
        </w:rPr>
        <w:t>frequency domain resource parameter is intended to make the additional PRACH resource</w:t>
      </w:r>
      <w:r>
        <w:rPr>
          <w:rFonts w:hint="eastAsia"/>
          <w:szCs w:val="20"/>
          <w:lang w:val="en-US" w:eastAsia="zh-CN"/>
        </w:rPr>
        <w:t>s</w:t>
      </w:r>
      <w:r>
        <w:rPr>
          <w:rFonts w:hint="default"/>
          <w:szCs w:val="20"/>
          <w:lang w:val="en-US" w:eastAsia="zh-CN"/>
        </w:rPr>
        <w:t xml:space="preserve"> and the legacy PRACH resource</w:t>
      </w:r>
      <w:r>
        <w:rPr>
          <w:rFonts w:hint="eastAsia"/>
          <w:szCs w:val="20"/>
          <w:lang w:val="en-US" w:eastAsia="zh-CN"/>
        </w:rPr>
        <w:t>s</w:t>
      </w:r>
      <w:r>
        <w:rPr>
          <w:rFonts w:hint="default"/>
          <w:szCs w:val="20"/>
          <w:lang w:val="en-US" w:eastAsia="zh-CN"/>
        </w:rPr>
        <w:t xml:space="preserve">, which overlap in the time domain, non-overlapping in the frequency domain. Specifically, in order to ensure that the additional PRACH resources and the traditional PRACH resources do not overlap in the frequency domain, a frequency domain interval </w:t>
      </w:r>
      <w:r>
        <w:rPr>
          <w:rFonts w:hint="eastAsia"/>
          <w:szCs w:val="20"/>
          <w:lang w:val="en-US" w:eastAsia="zh-CN"/>
        </w:rPr>
        <w:t>should</w:t>
      </w:r>
      <w:r>
        <w:rPr>
          <w:rFonts w:hint="default"/>
          <w:szCs w:val="20"/>
          <w:lang w:val="en-US" w:eastAsia="zh-CN"/>
        </w:rPr>
        <w:t xml:space="preserve"> be defined between </w:t>
      </w:r>
      <w:r>
        <w:rPr>
          <w:rFonts w:hint="eastAsia"/>
          <w:szCs w:val="20"/>
          <w:lang w:val="en-US" w:eastAsia="zh-CN"/>
        </w:rPr>
        <w:t>them</w:t>
      </w:r>
      <w:r>
        <w:rPr>
          <w:rFonts w:hint="default"/>
          <w:szCs w:val="20"/>
          <w:lang w:val="en-US" w:eastAsia="zh-CN"/>
        </w:rPr>
        <w:t xml:space="preserve">. </w:t>
      </w:r>
    </w:p>
    <w:p>
      <w:pPr>
        <w:spacing w:before="0" w:beforeLines="50" w:after="0" w:afterLines="50" w:line="360" w:lineRule="auto"/>
        <w:jc w:val="both"/>
        <w:rPr>
          <w:rFonts w:hint="default"/>
          <w:szCs w:val="20"/>
          <w:lang w:val="en-US" w:eastAsia="zh-CN"/>
        </w:rPr>
      </w:pPr>
      <w:r>
        <w:rPr>
          <w:rFonts w:hint="default"/>
          <w:szCs w:val="20"/>
          <w:lang w:val="en-US" w:eastAsia="zh-CN"/>
        </w:rPr>
        <w:t>In summary, option 1 can be supported</w:t>
      </w:r>
      <w:r>
        <w:rPr>
          <w:rFonts w:hint="eastAsia"/>
          <w:szCs w:val="20"/>
          <w:lang w:val="en-US" w:eastAsia="zh-CN"/>
        </w:rPr>
        <w:t>.</w:t>
      </w:r>
      <w:r>
        <w:rPr>
          <w:rFonts w:hint="default"/>
          <w:szCs w:val="20"/>
          <w:lang w:val="en-US" w:eastAsia="zh-CN"/>
        </w:rPr>
        <w:t xml:space="preserve"> Specifically, separate frequency domain parameters can be configured for the additional PRACH resource. In addition, a frequency domain interval limitation needs to be set between the additional PRACH resource and the legacy PRACH resource ensuring that they can be separated.</w:t>
      </w:r>
    </w:p>
    <w:p>
      <w:pPr>
        <w:spacing w:before="0" w:beforeLines="50" w:after="0" w:afterLines="50" w:line="360" w:lineRule="auto"/>
        <w:jc w:val="both"/>
        <w:rPr>
          <w:rFonts w:hint="default"/>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5</w:t>
      </w:r>
      <w:r>
        <w:rPr>
          <w:rFonts w:hint="default"/>
          <w:b/>
          <w:sz w:val="20"/>
          <w:szCs w:val="20"/>
          <w:lang w:val="en-US" w:eastAsia="zh-CN"/>
        </w:rPr>
        <w:t xml:space="preserve"> </w:t>
      </w:r>
      <w:r>
        <w:rPr>
          <w:rFonts w:hint="eastAsia"/>
          <w:b/>
          <w:sz w:val="20"/>
          <w:szCs w:val="20"/>
          <w:lang w:val="en-US" w:eastAsia="zh-CN"/>
        </w:rPr>
        <w:t xml:space="preserve"> Option 1 can be supported: frequency domain parameters can be configured separately for the additional PRACH resources.</w:t>
      </w:r>
    </w:p>
    <w:p>
      <w:pPr>
        <w:spacing w:before="0" w:beforeLines="50" w:after="0" w:afterLines="50" w:line="360" w:lineRule="auto"/>
        <w:jc w:val="both"/>
        <w:rPr>
          <w:rFonts w:hint="eastAsia"/>
          <w:sz w:val="20"/>
          <w:szCs w:val="20"/>
          <w:lang w:val="en-US" w:eastAsia="zh-CN"/>
        </w:rPr>
      </w:pPr>
      <w:r>
        <w:rPr>
          <w:rFonts w:hint="eastAsia"/>
          <w:sz w:val="20"/>
          <w:szCs w:val="20"/>
          <w:lang w:val="en-US" w:eastAsia="zh-CN"/>
        </w:rPr>
        <w:t xml:space="preserve">In previous </w:t>
      </w:r>
      <w:r>
        <w:rPr>
          <w:rFonts w:hint="default"/>
          <w:sz w:val="20"/>
          <w:szCs w:val="20"/>
          <w:lang w:val="en-US" w:eastAsia="zh-CN"/>
        </w:rPr>
        <w:t>meeting</w:t>
      </w:r>
      <w:r>
        <w:rPr>
          <w:rFonts w:hint="eastAsia"/>
          <w:sz w:val="20"/>
          <w:szCs w:val="20"/>
          <w:lang w:val="en-US" w:eastAsia="zh-CN"/>
        </w:rPr>
        <w:t>, the following agreement was</w:t>
      </w:r>
      <w:r>
        <w:rPr>
          <w:rFonts w:hint="default"/>
          <w:sz w:val="20"/>
          <w:szCs w:val="20"/>
          <w:lang w:val="en-US" w:eastAsia="zh-CN"/>
        </w:rPr>
        <w:t xml:space="preserve"> reached</w:t>
      </w:r>
      <w:r>
        <w:rPr>
          <w:rFonts w:hint="eastAsia"/>
          <w:sz w:val="20"/>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default" w:ascii="Times New Roman" w:hAnsi="Times New Roman" w:eastAsia="Batang" w:cs="Times New Roman"/>
                <w:color w:val="auto"/>
                <w:sz w:val="20"/>
                <w:szCs w:val="20"/>
                <w:lang w:val="en-US" w:eastAsia="zh-CN"/>
              </w:rPr>
            </w:pPr>
            <w:r>
              <w:rPr>
                <w:rFonts w:hint="eastAsia" w:ascii="Times New Roman" w:hAnsi="Times New Roman" w:eastAsia="Batang" w:cs="Times New Roman"/>
                <w:color w:val="auto"/>
                <w:sz w:val="20"/>
                <w:szCs w:val="20"/>
                <w:highlight w:val="green"/>
                <w:lang w:eastAsia="zh-CN"/>
              </w:rPr>
              <w:t>Agreement</w:t>
            </w:r>
            <w:r>
              <w:rPr>
                <w:rFonts w:hint="eastAsia" w:eastAsia="Batang" w:cs="Times New Roman"/>
                <w:color w:val="auto"/>
                <w:sz w:val="20"/>
                <w:szCs w:val="20"/>
                <w:highlight w:val="green"/>
                <w:lang w:val="en-US" w:eastAsia="zh-CN"/>
              </w:rPr>
              <w:t>(RAN1#118 meeting)</w:t>
            </w:r>
          </w:p>
          <w:p>
            <w:pPr>
              <w:keepNext w:val="0"/>
              <w:keepLines w:val="0"/>
              <w:widowControl/>
              <w:suppressLineNumbers w:val="0"/>
              <w:overflowPunct w:val="0"/>
              <w:autoSpaceDE w:val="0"/>
              <w:autoSpaceDN w:val="0"/>
              <w:adjustRightInd w:val="0"/>
              <w:spacing w:before="0" w:beforeAutospacing="0" w:after="0" w:afterAutospacing="0" w:line="360" w:lineRule="auto"/>
              <w:ind w:left="0" w:right="0" w:firstLine="0"/>
              <w:textAlignment w:val="baseline"/>
              <w:rPr>
                <w:rFonts w:hint="eastAsia" w:ascii="Times New Roman" w:hAnsi="Times New Roman" w:eastAsia="Batang" w:cs="Times New Roman"/>
                <w:color w:val="auto"/>
                <w:sz w:val="20"/>
                <w:szCs w:val="20"/>
                <w:lang w:eastAsia="zh-CN"/>
              </w:rPr>
            </w:pPr>
            <w:r>
              <w:rPr>
                <w:rFonts w:hint="eastAsia" w:ascii="Times New Roman" w:hAnsi="Times New Roman" w:eastAsia="Batang" w:cs="Times New Roman"/>
                <w:color w:val="auto"/>
                <w:sz w:val="20"/>
                <w:szCs w:val="20"/>
                <w:lang w:eastAsia="zh-CN"/>
              </w:rPr>
              <w:t>For DCI-based adaptation for additional PRACH resources, select only from the following alternatives</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1: (PRACH resource configuration level) DCI-based adaptation to indicate whether the additional PRACH resources provided by semi-static signalling are available or not</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FFS: details</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 (subset of PRACH resource level) DCI-based adaptation to indicate whether a subset of the additional PRACH resources provided by semi-static signalling are available or not</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 xml:space="preserve">FFS: whether the subset of the additional PRACH resources is in </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2-1: RO level per SSB</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2-2: SSB-to-RO mapping cycle level</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2-3: PRACH association period level</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2-4: PRACH association pattern period level </w:t>
            </w:r>
          </w:p>
          <w:p>
            <w:pPr>
              <w:keepNext w:val="0"/>
              <w:keepLines w:val="0"/>
              <w:widowControl/>
              <w:numPr>
                <w:ilvl w:val="2"/>
                <w:numId w:val="8"/>
              </w:numPr>
              <w:suppressLineNumbers w:val="0"/>
              <w:overflowPunct w:val="0"/>
              <w:autoSpaceDE w:val="0"/>
              <w:autoSpaceDN w:val="0"/>
              <w:adjustRightInd w:val="0"/>
              <w:spacing w:before="0" w:beforeAutospacing="0" w:after="0" w:afterAutospacing="0" w:line="360" w:lineRule="auto"/>
              <w:ind w:left="216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Alt 2-5: SFN level</w:t>
            </w:r>
          </w:p>
          <w:p>
            <w:pPr>
              <w:keepNext w:val="0"/>
              <w:keepLines w:val="0"/>
              <w:widowControl/>
              <w:numPr>
                <w:ilvl w:val="0"/>
                <w:numId w:val="8"/>
              </w:numPr>
              <w:suppressLineNumbers w:val="0"/>
              <w:overflowPunct w:val="0"/>
              <w:autoSpaceDE w:val="0"/>
              <w:autoSpaceDN w:val="0"/>
              <w:adjustRightInd w:val="0"/>
              <w:spacing w:before="0" w:beforeAutospacing="0" w:after="0" w:afterAutospacing="0" w:line="360" w:lineRule="auto"/>
              <w:ind w:left="72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ko-KR"/>
              </w:rPr>
              <w:t xml:space="preserve">Alt 3: </w:t>
            </w:r>
            <w:r>
              <w:rPr>
                <w:rFonts w:hint="eastAsia" w:ascii="Times New Roman" w:hAnsi="Times New Roman" w:eastAsia="Batang" w:cs="Times New Roman"/>
                <w:color w:val="auto"/>
                <w:sz w:val="20"/>
                <w:szCs w:val="20"/>
                <w:lang w:eastAsia="en-US"/>
              </w:rPr>
              <w:t>DCI-based Enhanced/new Cell DRX to indicate whether the enhanced/new Cell DRX is activated or deactivated.</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If activated, the additional configured PRACH provided by semi-static signalling within non-active period are not available.</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FFS: whether Alt 1 and/or Alt 2 can be applied to the active period</w:t>
            </w:r>
          </w:p>
          <w:p>
            <w:pPr>
              <w:keepNext w:val="0"/>
              <w:keepLines w:val="0"/>
              <w:widowControl/>
              <w:numPr>
                <w:ilvl w:val="1"/>
                <w:numId w:val="8"/>
              </w:numPr>
              <w:suppressLineNumbers w:val="0"/>
              <w:overflowPunct w:val="0"/>
              <w:autoSpaceDE w:val="0"/>
              <w:autoSpaceDN w:val="0"/>
              <w:adjustRightInd w:val="0"/>
              <w:spacing w:before="0" w:beforeAutospacing="0" w:after="0" w:afterAutospacing="0" w:line="360" w:lineRule="auto"/>
              <w:ind w:left="1440" w:right="0" w:hanging="360"/>
              <w:textAlignment w:val="baseline"/>
              <w:rPr>
                <w:rFonts w:hint="eastAsia" w:ascii="Times New Roman" w:hAnsi="Times New Roman" w:eastAsia="Batang" w:cs="Times New Roman"/>
                <w:color w:val="auto"/>
                <w:sz w:val="20"/>
                <w:szCs w:val="20"/>
                <w:lang w:eastAsia="en-US"/>
              </w:rPr>
            </w:pPr>
            <w:r>
              <w:rPr>
                <w:rFonts w:hint="eastAsia" w:ascii="Times New Roman" w:hAnsi="Times New Roman" w:eastAsia="Batang" w:cs="Times New Roman"/>
                <w:color w:val="auto"/>
                <w:sz w:val="20"/>
                <w:szCs w:val="20"/>
                <w:lang w:eastAsia="en-US"/>
              </w:rPr>
              <w:t>FFS: details</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jc w:val="both"/>
              <w:textAlignment w:val="auto"/>
              <w:rPr>
                <w:rFonts w:hint="eastAsia"/>
                <w:b/>
                <w:sz w:val="21"/>
                <w:szCs w:val="21"/>
                <w:vertAlign w:val="baseline"/>
                <w:lang w:val="en-US" w:eastAsia="zh-CN"/>
              </w:rPr>
            </w:pPr>
          </w:p>
        </w:tc>
      </w:tr>
    </w:tbl>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Regarding the method of using DCI-based adaptation to indicate the availability of </w:t>
      </w:r>
      <w:r>
        <w:rPr>
          <w:rFonts w:hint="eastAsia"/>
          <w:b w:val="0"/>
          <w:sz w:val="20"/>
          <w:szCs w:val="20"/>
          <w:lang w:val="en-US" w:eastAsia="zh-CN"/>
        </w:rPr>
        <w:t>the</w:t>
      </w:r>
      <w:r>
        <w:rPr>
          <w:rFonts w:hint="default"/>
          <w:b w:val="0"/>
          <w:sz w:val="20"/>
          <w:szCs w:val="20"/>
          <w:lang w:val="en-US" w:eastAsia="zh-CN"/>
        </w:rPr>
        <w:t xml:space="preserve"> additional PRACH resource subset provided by semi-static signaling, we can make a detailed analysis in the following aspects: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First, for Alt 2-1: RO-level adaptation. Although this method has </w:t>
      </w:r>
      <w:r>
        <w:rPr>
          <w:rFonts w:hint="eastAsia"/>
          <w:b w:val="0"/>
          <w:sz w:val="20"/>
          <w:szCs w:val="20"/>
          <w:lang w:val="en-US" w:eastAsia="zh-CN"/>
        </w:rPr>
        <w:t>some</w:t>
      </w:r>
      <w:r>
        <w:rPr>
          <w:rFonts w:hint="default"/>
          <w:b w:val="0"/>
          <w:sz w:val="20"/>
          <w:szCs w:val="20"/>
          <w:lang w:val="en-US" w:eastAsia="zh-CN"/>
        </w:rPr>
        <w:t xml:space="preserve"> flexibility, it will lead to uneven mapping </w:t>
      </w:r>
      <w:r>
        <w:rPr>
          <w:rFonts w:hint="eastAsia"/>
          <w:b w:val="0"/>
          <w:sz w:val="20"/>
          <w:szCs w:val="20"/>
          <w:lang w:val="en-US" w:eastAsia="zh-CN"/>
        </w:rPr>
        <w:t>from</w:t>
      </w:r>
      <w:r>
        <w:rPr>
          <w:rFonts w:hint="default"/>
          <w:b w:val="0"/>
          <w:sz w:val="20"/>
          <w:szCs w:val="20"/>
          <w:lang w:val="en-US" w:eastAsia="zh-CN"/>
        </w:rPr>
        <w:t xml:space="preserve"> SSB to RO, </w:t>
      </w:r>
      <w:r>
        <w:rPr>
          <w:rFonts w:hint="eastAsia"/>
          <w:b w:val="0"/>
          <w:sz w:val="20"/>
          <w:szCs w:val="20"/>
          <w:lang w:val="en-US" w:eastAsia="zh-CN"/>
        </w:rPr>
        <w:t xml:space="preserve">which </w:t>
      </w:r>
      <w:r>
        <w:rPr>
          <w:rFonts w:hint="default"/>
          <w:b w:val="0"/>
          <w:sz w:val="20"/>
          <w:szCs w:val="20"/>
          <w:lang w:val="en-US" w:eastAsia="zh-CN"/>
        </w:rPr>
        <w:t>affect</w:t>
      </w:r>
      <w:r>
        <w:rPr>
          <w:rFonts w:hint="eastAsia"/>
          <w:b w:val="0"/>
          <w:sz w:val="20"/>
          <w:szCs w:val="20"/>
          <w:lang w:val="en-US" w:eastAsia="zh-CN"/>
        </w:rPr>
        <w:t>s</w:t>
      </w:r>
      <w:r>
        <w:rPr>
          <w:rFonts w:hint="default"/>
          <w:b w:val="0"/>
          <w:sz w:val="20"/>
          <w:szCs w:val="20"/>
          <w:lang w:val="en-US" w:eastAsia="zh-CN"/>
        </w:rPr>
        <w:t xml:space="preserve"> the reliability of the system. Meanwhile, since this method can only ensure a shorter sleep duration, it may not bring significant</w:t>
      </w:r>
      <w:r>
        <w:rPr>
          <w:rFonts w:hint="eastAsia"/>
          <w:b w:val="0"/>
          <w:sz w:val="20"/>
          <w:szCs w:val="20"/>
          <w:lang w:val="en-US" w:eastAsia="zh-CN"/>
        </w:rPr>
        <w:t xml:space="preserve"> </w:t>
      </w:r>
      <w:r>
        <w:rPr>
          <w:rFonts w:hint="default"/>
          <w:b w:val="0"/>
          <w:sz w:val="20"/>
          <w:szCs w:val="20"/>
          <w:lang w:val="en-US" w:eastAsia="zh-CN"/>
        </w:rPr>
        <w:t xml:space="preserve">network energy saving.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Second, for Alt 2-3: PRACH association period level adaptation. The drawback of this method is that the size of the PRACH association period depends on the</w:t>
      </w:r>
      <w:r>
        <w:rPr>
          <w:rFonts w:hint="eastAsia"/>
          <w:b w:val="0"/>
          <w:sz w:val="20"/>
          <w:szCs w:val="20"/>
          <w:lang w:val="en-US" w:eastAsia="zh-CN"/>
        </w:rPr>
        <w:t xml:space="preserve"> </w:t>
      </w:r>
      <w:r>
        <w:rPr>
          <w:rFonts w:hint="default"/>
          <w:b w:val="0"/>
          <w:sz w:val="20"/>
          <w:szCs w:val="20"/>
          <w:lang w:val="en-US" w:eastAsia="zh-CN"/>
        </w:rPr>
        <w:t>subframe</w:t>
      </w:r>
      <w:r>
        <w:rPr>
          <w:rFonts w:hint="eastAsia"/>
          <w:b w:val="0"/>
          <w:sz w:val="20"/>
          <w:szCs w:val="20"/>
          <w:lang w:val="en-US" w:eastAsia="zh-CN"/>
        </w:rPr>
        <w:t xml:space="preserve"> </w:t>
      </w:r>
      <w:r>
        <w:rPr>
          <w:rFonts w:hint="default"/>
          <w:b w:val="0"/>
          <w:sz w:val="20"/>
          <w:szCs w:val="20"/>
          <w:lang w:val="en-US" w:eastAsia="zh-CN"/>
        </w:rPr>
        <w:t>type, hence the size of the PRACH association period is uncertain. For example, the PRACH association period may sometimes be 10m</w:t>
      </w:r>
      <w:r>
        <w:rPr>
          <w:rFonts w:hint="eastAsia"/>
          <w:b w:val="0"/>
          <w:sz w:val="20"/>
          <w:szCs w:val="20"/>
          <w:lang w:val="en-US" w:eastAsia="zh-CN"/>
        </w:rPr>
        <w:t>s</w:t>
      </w:r>
      <w:r>
        <w:rPr>
          <w:rFonts w:hint="default"/>
          <w:b w:val="0"/>
          <w:sz w:val="20"/>
          <w:szCs w:val="20"/>
          <w:lang w:val="en-US" w:eastAsia="zh-CN"/>
        </w:rPr>
        <w:t xml:space="preserve"> and sometimes 20</w:t>
      </w:r>
      <w:r>
        <w:rPr>
          <w:rFonts w:hint="eastAsia"/>
          <w:b w:val="0"/>
          <w:sz w:val="20"/>
          <w:szCs w:val="20"/>
          <w:lang w:val="en-US" w:eastAsia="zh-CN"/>
        </w:rPr>
        <w:t>ms</w:t>
      </w:r>
      <w:r>
        <w:rPr>
          <w:rFonts w:hint="default"/>
          <w:b w:val="0"/>
          <w:sz w:val="20"/>
          <w:szCs w:val="20"/>
          <w:lang w:val="en-US" w:eastAsia="zh-CN"/>
        </w:rPr>
        <w:t xml:space="preserve">. In turn, this uncertainty makes the PRACH association period adaptation unsuitable as a method for PRACH time domain adaptation.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Third, for Alt 2-4: PRACH association </w:t>
      </w:r>
      <w:r>
        <w:rPr>
          <w:rFonts w:hint="eastAsia" w:ascii="Times New Roman" w:hAnsi="Times New Roman" w:eastAsia="宋体" w:cs="Times New Roman"/>
          <w:sz w:val="20"/>
          <w:szCs w:val="20"/>
          <w:lang w:val="en-US" w:eastAsia="zh-CN"/>
        </w:rPr>
        <w:t>pattern</w:t>
      </w:r>
      <w:r>
        <w:rPr>
          <w:rFonts w:hint="default"/>
          <w:b w:val="0"/>
          <w:sz w:val="20"/>
          <w:szCs w:val="20"/>
          <w:lang w:val="en-US" w:eastAsia="zh-CN"/>
        </w:rPr>
        <w:t xml:space="preserve"> period level adaptation. Even though this method is able to provide the gNB with a longer sleep time and thus realize energy saving gains, it is accompanied by an obvious drawback, i.e., it introduces a larger random access delay. Obviously, this is a disadvantage that cannot be ignored for those UEs that need to access the network quickly.</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 xml:space="preserve">Finally, for Alt 2-2: </w:t>
      </w:r>
      <w:r>
        <w:rPr>
          <w:rFonts w:hint="eastAsia" w:ascii="Times New Roman" w:hAnsi="Times New Roman" w:eastAsia="宋体" w:cs="Times New Roman"/>
          <w:sz w:val="20"/>
          <w:szCs w:val="20"/>
          <w:lang w:val="en-US" w:eastAsia="zh-CN"/>
        </w:rPr>
        <w:t>SSB-to-RO</w:t>
      </w:r>
      <w:r>
        <w:rPr>
          <w:rFonts w:hint="default"/>
          <w:b w:val="0"/>
          <w:sz w:val="20"/>
          <w:szCs w:val="20"/>
          <w:lang w:val="en-US" w:eastAsia="zh-CN"/>
        </w:rPr>
        <w:t xml:space="preserve"> mapping cycle level</w:t>
      </w:r>
      <w:r>
        <w:rPr>
          <w:rFonts w:hint="eastAsia"/>
          <w:b w:val="0"/>
          <w:sz w:val="20"/>
          <w:szCs w:val="20"/>
          <w:lang w:val="en-US" w:eastAsia="zh-CN"/>
        </w:rPr>
        <w:t xml:space="preserve"> adaptation</w:t>
      </w:r>
      <w:r>
        <w:rPr>
          <w:rFonts w:hint="default"/>
          <w:b w:val="0"/>
          <w:sz w:val="20"/>
          <w:szCs w:val="20"/>
          <w:lang w:val="en-US" w:eastAsia="zh-CN"/>
        </w:rPr>
        <w:t xml:space="preserve">. Since the SSB to RO mapping cycle is the smallest unit of PRACH adaptation, adopting this method will not affect the SSB-to-RO mapping of the UE. </w:t>
      </w:r>
    </w:p>
    <w:p>
      <w:pPr>
        <w:numPr>
          <w:ilvl w:val="0"/>
          <w:numId w:val="0"/>
        </w:numPr>
        <w:overflowPunct/>
        <w:autoSpaceDE/>
        <w:autoSpaceDN/>
        <w:adjustRightInd/>
        <w:spacing w:before="0" w:beforeLines="50" w:after="0" w:afterLines="50" w:line="360" w:lineRule="auto"/>
        <w:ind w:left="0" w:firstLine="0"/>
        <w:jc w:val="both"/>
        <w:textAlignment w:val="auto"/>
        <w:rPr>
          <w:rFonts w:hint="default"/>
          <w:b w:val="0"/>
          <w:sz w:val="20"/>
          <w:szCs w:val="20"/>
          <w:lang w:val="en-US" w:eastAsia="zh-CN"/>
        </w:rPr>
      </w:pPr>
      <w:r>
        <w:rPr>
          <w:rFonts w:hint="default"/>
          <w:b w:val="0"/>
          <w:sz w:val="20"/>
          <w:szCs w:val="20"/>
          <w:lang w:val="en-US" w:eastAsia="zh-CN"/>
        </w:rPr>
        <w:t>In summary, it is suggested that SSB-to-RO mapping cycle level adaptation is considered as the preferred solution. It not only meets the flexibility and reliability requirements of the system, but also helps to realize the network energy saving aim without negatively affecting the access delay of the UE.</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6</w:t>
      </w:r>
      <w:r>
        <w:rPr>
          <w:rFonts w:hint="default"/>
          <w:b/>
          <w:sz w:val="20"/>
          <w:szCs w:val="20"/>
          <w:lang w:val="en-US" w:eastAsia="zh-CN"/>
        </w:rPr>
        <w:t xml:space="preserve">  Alt 2-2</w:t>
      </w:r>
      <w:r>
        <w:rPr>
          <w:rFonts w:hint="eastAsia"/>
          <w:b/>
          <w:sz w:val="20"/>
          <w:szCs w:val="20"/>
          <w:lang w:val="en-US" w:eastAsia="zh-CN"/>
        </w:rPr>
        <w:t xml:space="preserve"> can</w:t>
      </w:r>
      <w:r>
        <w:rPr>
          <w:rFonts w:hint="default"/>
          <w:b/>
          <w:sz w:val="20"/>
          <w:szCs w:val="20"/>
          <w:lang w:val="en-US" w:eastAsia="zh-CN"/>
        </w:rPr>
        <w:t xml:space="preserve"> be </w:t>
      </w:r>
      <w:r>
        <w:rPr>
          <w:rFonts w:hint="eastAsia"/>
          <w:b/>
          <w:sz w:val="20"/>
          <w:szCs w:val="20"/>
          <w:lang w:val="en-US" w:eastAsia="zh-CN"/>
        </w:rPr>
        <w:t>supported</w:t>
      </w:r>
      <w:r>
        <w:rPr>
          <w:rFonts w:hint="default"/>
          <w:b/>
          <w:sz w:val="20"/>
          <w:szCs w:val="20"/>
          <w:lang w:val="en-US" w:eastAsia="zh-CN"/>
        </w:rPr>
        <w:t>: SSB-to-RO mapping cycle level</w:t>
      </w:r>
      <w:r>
        <w:rPr>
          <w:rFonts w:hint="eastAsia"/>
          <w:b/>
          <w:sz w:val="20"/>
          <w:szCs w:val="20"/>
          <w:lang w:val="en-US" w:eastAsia="zh-CN"/>
        </w:rPr>
        <w:t xml:space="preserve"> adaptation</w:t>
      </w:r>
      <w:r>
        <w:rPr>
          <w:rFonts w:hint="default"/>
          <w:b/>
          <w:sz w:val="20"/>
          <w:szCs w:val="20"/>
          <w:lang w:val="en-US" w:eastAsia="zh-CN"/>
        </w:rPr>
        <w:t>.</w:t>
      </w:r>
    </w:p>
    <w:p>
      <w:pPr>
        <w:numPr>
          <w:ilvl w:val="0"/>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 xml:space="preserve">Regarding the combination of cell DRX and PRACH adaptation, the analysis is as follows: </w:t>
      </w:r>
    </w:p>
    <w:p>
      <w:pPr>
        <w:numPr>
          <w:ilvl w:val="0"/>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Cell DRX was introduced in Rel-18, and according to Rel-18, it is only applicable to UE-specific channels or signals. Therefore, from the perspective of network energy saving, PRACH adaptation based on cell DRX operation can be considered.</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7</w:t>
      </w:r>
      <w:r>
        <w:rPr>
          <w:rFonts w:hint="default"/>
          <w:b/>
          <w:sz w:val="20"/>
          <w:szCs w:val="20"/>
          <w:lang w:val="en-US" w:eastAsia="zh-CN"/>
        </w:rPr>
        <w:t xml:space="preserve">  PRACH adaptation based on cell DRX operation can be considered.</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In previous meeting, the following agreement was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w:hAnsi="Times" w:eastAsia="Batang"/>
                <w:b/>
                <w:bCs/>
                <w:sz w:val="20"/>
                <w:szCs w:val="20"/>
                <w:highlight w:val="green"/>
                <w:lang w:val="en-GB" w:eastAsia="zh-CN"/>
              </w:rPr>
            </w:pPr>
            <w:r>
              <w:rPr>
                <w:rFonts w:hint="eastAsia" w:ascii="Times" w:hAnsi="Times" w:eastAsia="Batang"/>
                <w:b/>
                <w:bCs/>
                <w:sz w:val="20"/>
                <w:szCs w:val="20"/>
                <w:highlight w:val="green"/>
                <w:lang w:val="en-GB" w:eastAsia="zh-CN"/>
              </w:rPr>
              <w:t>Agreement（</w:t>
            </w:r>
            <w:r>
              <w:rPr>
                <w:rFonts w:hint="eastAsia" w:ascii="Times" w:hAnsi="Times" w:eastAsia="Batang"/>
                <w:b/>
                <w:bCs/>
                <w:sz w:val="20"/>
                <w:szCs w:val="20"/>
                <w:highlight w:val="green"/>
                <w:lang w:val="en-US" w:eastAsia="zh-CN"/>
              </w:rPr>
              <w:t>RAN1#118</w:t>
            </w:r>
            <w:r>
              <w:rPr>
                <w:rFonts w:hint="eastAsia" w:ascii="Times" w:hAnsi="Times" w:eastAsia="Batang"/>
                <w:b/>
                <w:bCs/>
                <w:sz w:val="20"/>
                <w:szCs w:val="20"/>
                <w:highlight w:val="green"/>
                <w:lang w:val="en-GB"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w:hAnsi="Times" w:eastAsia="Batang"/>
                <w:sz w:val="20"/>
                <w:szCs w:val="20"/>
                <w:lang w:val="en-GB" w:eastAsia="zh-CN"/>
              </w:rPr>
            </w:pPr>
            <w:r>
              <w:rPr>
                <w:rFonts w:hint="eastAsia" w:ascii="Times" w:hAnsi="Times" w:eastAsia="Batang"/>
                <w:sz w:val="20"/>
                <w:szCs w:val="20"/>
                <w:lang w:val="en-GB" w:eastAsia="zh-CN"/>
              </w:rPr>
              <w:t xml:space="preserve">For DCI-based adaptation for additional PRACH resources, </w:t>
            </w:r>
          </w:p>
          <w:p>
            <w:pPr>
              <w:pStyle w:val="27"/>
              <w:keepNext w:val="0"/>
              <w:keepLines w:val="0"/>
              <w:widowControl/>
              <w:numPr>
                <w:ilvl w:val="0"/>
                <w:numId w:val="9"/>
              </w:numPr>
              <w:suppressLineNumbers w:val="0"/>
              <w:overflowPunct w:val="0"/>
              <w:autoSpaceDE w:val="0"/>
              <w:autoSpaceDN w:val="0"/>
              <w:adjustRightInd w:val="0"/>
              <w:spacing w:beforeAutospacing="0" w:after="120" w:afterAutospacing="0"/>
              <w:ind w:right="0"/>
              <w:jc w:val="both"/>
              <w:textAlignment w:val="baseline"/>
              <w:rPr>
                <w:rFonts w:hint="eastAsia" w:ascii="Times" w:hAnsi="Times" w:eastAsia="Batang"/>
                <w:sz w:val="20"/>
                <w:szCs w:val="20"/>
                <w:lang w:val="en-GB" w:eastAsia="zh-CN"/>
              </w:rPr>
            </w:pPr>
            <w:r>
              <w:rPr>
                <w:rFonts w:hint="eastAsia" w:ascii="Times" w:hAnsi="Times" w:eastAsia="Batang"/>
                <w:sz w:val="20"/>
                <w:szCs w:val="20"/>
                <w:lang w:val="en-GB" w:eastAsia="zh-CN"/>
              </w:rPr>
              <w:t xml:space="preserve">Select from the following DCI format(s) to carry the adaptation indication. </w:t>
            </w:r>
          </w:p>
          <w:p>
            <w:pPr>
              <w:pStyle w:val="27"/>
              <w:keepNext w:val="0"/>
              <w:keepLines w:val="0"/>
              <w:widowControl/>
              <w:numPr>
                <w:ilvl w:val="1"/>
                <w:numId w:val="9"/>
              </w:numPr>
              <w:suppressLineNumbers w:val="0"/>
              <w:overflowPunct w:val="0"/>
              <w:autoSpaceDE w:val="0"/>
              <w:autoSpaceDN w:val="0"/>
              <w:adjustRightInd w:val="0"/>
              <w:spacing w:beforeAutospacing="0" w:after="120" w:afterAutospacing="0"/>
              <w:ind w:right="0"/>
              <w:jc w:val="both"/>
              <w:textAlignment w:val="baseline"/>
              <w:rPr>
                <w:rFonts w:hint="eastAsia" w:ascii="Times" w:hAnsi="Times" w:eastAsia="Batang"/>
                <w:sz w:val="20"/>
                <w:szCs w:val="20"/>
                <w:lang w:val="en-GB" w:eastAsia="zh-CN"/>
              </w:rPr>
            </w:pPr>
            <w:r>
              <w:rPr>
                <w:rFonts w:hint="eastAsia" w:ascii="Times" w:hAnsi="Times" w:eastAsia="Batang"/>
                <w:sz w:val="20"/>
                <w:szCs w:val="20"/>
                <w:lang w:val="en-GB" w:eastAsia="zh-CN"/>
              </w:rPr>
              <w:t>DCI format 1_0</w:t>
            </w:r>
          </w:p>
          <w:p>
            <w:pPr>
              <w:pStyle w:val="27"/>
              <w:keepNext w:val="0"/>
              <w:keepLines w:val="0"/>
              <w:widowControl/>
              <w:numPr>
                <w:ilvl w:val="1"/>
                <w:numId w:val="9"/>
              </w:numPr>
              <w:suppressLineNumbers w:val="0"/>
              <w:overflowPunct w:val="0"/>
              <w:autoSpaceDE w:val="0"/>
              <w:autoSpaceDN w:val="0"/>
              <w:adjustRightInd w:val="0"/>
              <w:spacing w:beforeAutospacing="0" w:after="120" w:afterAutospacing="0"/>
              <w:ind w:right="0"/>
              <w:jc w:val="both"/>
              <w:textAlignment w:val="baseline"/>
              <w:rPr>
                <w:rFonts w:hint="eastAsia" w:ascii="Times" w:hAnsi="Times" w:eastAsia="Batang"/>
                <w:sz w:val="20"/>
                <w:szCs w:val="20"/>
                <w:lang w:val="en-GB" w:eastAsia="zh-CN"/>
              </w:rPr>
            </w:pPr>
            <w:r>
              <w:rPr>
                <w:rFonts w:hint="eastAsia" w:ascii="Times" w:hAnsi="Times" w:eastAsia="Batang"/>
                <w:sz w:val="20"/>
                <w:szCs w:val="20"/>
                <w:lang w:val="en-GB" w:eastAsia="zh-CN"/>
              </w:rPr>
              <w:t>DCI format 2_7</w:t>
            </w:r>
          </w:p>
          <w:p>
            <w:pPr>
              <w:pStyle w:val="27"/>
              <w:keepNext w:val="0"/>
              <w:keepLines w:val="0"/>
              <w:widowControl/>
              <w:numPr>
                <w:ilvl w:val="1"/>
                <w:numId w:val="9"/>
              </w:numPr>
              <w:suppressLineNumbers w:val="0"/>
              <w:overflowPunct w:val="0"/>
              <w:autoSpaceDE w:val="0"/>
              <w:autoSpaceDN w:val="0"/>
              <w:adjustRightInd w:val="0"/>
              <w:spacing w:beforeAutospacing="0" w:after="120" w:afterAutospacing="0"/>
              <w:ind w:right="0"/>
              <w:jc w:val="both"/>
              <w:textAlignment w:val="baseline"/>
              <w:rPr>
                <w:rFonts w:hint="eastAsia" w:ascii="Times" w:hAnsi="Times" w:eastAsia="Batang"/>
                <w:sz w:val="20"/>
                <w:szCs w:val="20"/>
                <w:lang w:val="en-GB" w:eastAsia="zh-CN"/>
              </w:rPr>
            </w:pPr>
            <w:r>
              <w:rPr>
                <w:rFonts w:hint="eastAsia" w:ascii="Times" w:hAnsi="Times" w:eastAsia="Batang"/>
                <w:sz w:val="20"/>
                <w:szCs w:val="20"/>
                <w:lang w:val="en-GB" w:eastAsia="zh-CN"/>
              </w:rPr>
              <w:t>DCI format 2_9</w:t>
            </w:r>
          </w:p>
          <w:p>
            <w:pPr>
              <w:pStyle w:val="27"/>
              <w:keepNext w:val="0"/>
              <w:keepLines w:val="0"/>
              <w:widowControl/>
              <w:numPr>
                <w:ilvl w:val="0"/>
                <w:numId w:val="9"/>
              </w:numPr>
              <w:suppressLineNumbers w:val="0"/>
              <w:overflowPunct w:val="0"/>
              <w:autoSpaceDE w:val="0"/>
              <w:autoSpaceDN w:val="0"/>
              <w:adjustRightInd w:val="0"/>
              <w:spacing w:beforeAutospacing="0" w:after="120" w:afterAutospacing="0"/>
              <w:ind w:right="0"/>
              <w:jc w:val="both"/>
              <w:textAlignment w:val="baseline"/>
              <w:rPr>
                <w:rFonts w:hint="eastAsia" w:ascii="Times" w:hAnsi="Times" w:eastAsia="Batang"/>
                <w:sz w:val="20"/>
                <w:szCs w:val="20"/>
                <w:lang w:val="en-GB" w:eastAsia="zh-CN"/>
              </w:rPr>
            </w:pPr>
            <w:r>
              <w:rPr>
                <w:rFonts w:hint="eastAsia" w:ascii="Times" w:hAnsi="Times" w:eastAsia="Batang"/>
                <w:sz w:val="20"/>
                <w:szCs w:val="20"/>
                <w:lang w:val="en-GB" w:eastAsia="zh-CN"/>
              </w:rPr>
              <w:t>FFS: existing (P-RNTI, SI-RNTI, CellDTRX-RNTI, PEI-RNTI, C-RNTI) or new RNTI used for detecting the DCI format</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jc w:val="both"/>
              <w:textAlignment w:val="auto"/>
              <w:rPr>
                <w:rFonts w:hint="default"/>
                <w:b/>
                <w:sz w:val="20"/>
                <w:szCs w:val="20"/>
                <w:vertAlign w:val="baseline"/>
                <w:lang w:val="en-US" w:eastAsia="zh-CN"/>
              </w:rPr>
            </w:pPr>
          </w:p>
        </w:tc>
      </w:tr>
    </w:tbl>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 xml:space="preserve">For </w:t>
      </w:r>
      <w:r>
        <w:rPr>
          <w:rFonts w:hint="eastAsia" w:ascii="Times" w:hAnsi="Times" w:eastAsia="Batang"/>
          <w:sz w:val="20"/>
          <w:szCs w:val="20"/>
          <w:lang w:val="en-GB" w:eastAsia="zh-CN"/>
        </w:rPr>
        <w:t>DCI-based adaptation for additional PRACH resources</w:t>
      </w:r>
      <w:r>
        <w:rPr>
          <w:rFonts w:hint="eastAsia"/>
          <w:b w:val="0"/>
          <w:sz w:val="20"/>
          <w:szCs w:val="20"/>
          <w:lang w:val="en-US" w:eastAsia="zh-CN"/>
        </w:rPr>
        <w:t>, a common solution needs to be found for UEs in the RRC idle/ inactive and RRC connected mode. Since both UEs in the RRC idle/inactive state and UEs in the RRC connected state can monitor DCI format 1_0, DCI format 1_0 can be used as a starting point for discussion among the DCI formats in the above agreement. In addition, since both UEs in the RRC idle/active state and UEs in the RRC connected state need to monitor paging messages, the DCI format 1_0 scrambled by P-RNTI can be used to adapt the PRACH resources.</w:t>
      </w:r>
    </w:p>
    <w:p>
      <w:pPr>
        <w:numPr>
          <w:ilvl w:val="-1"/>
          <w:numId w:val="0"/>
        </w:numPr>
        <w:overflowPunct/>
        <w:autoSpaceDE/>
        <w:autoSpaceDN/>
        <w:adjustRightInd/>
        <w:spacing w:before="0" w:beforeLines="50" w:after="0" w:afterLines="50" w:line="360" w:lineRule="auto"/>
        <w:ind w:left="0" w:firstLine="0"/>
        <w:jc w:val="both"/>
        <w:textAlignment w:val="auto"/>
        <w:rPr>
          <w:rFonts w:hint="eastAsia"/>
          <w:b w:val="0"/>
          <w:sz w:val="20"/>
          <w:szCs w:val="20"/>
          <w:lang w:val="en-US" w:eastAsia="zh-CN"/>
        </w:rPr>
      </w:pPr>
      <w:r>
        <w:rPr>
          <w:rFonts w:hint="eastAsia"/>
          <w:b w:val="0"/>
          <w:sz w:val="20"/>
          <w:szCs w:val="20"/>
          <w:lang w:val="en-US" w:eastAsia="zh-CN"/>
        </w:rPr>
        <w:t>In summary, the use of DCI format 1_0 scrambled by P-RNTI to adapt PRACH resources can be supported.</w:t>
      </w:r>
    </w:p>
    <w:p>
      <w:pPr>
        <w:numPr>
          <w:ilvl w:val="-1"/>
          <w:numId w:val="0"/>
        </w:numPr>
        <w:overflowPunct/>
        <w:autoSpaceDE/>
        <w:autoSpaceDN/>
        <w:adjustRightInd/>
        <w:spacing w:before="0" w:beforeLines="50" w:after="0" w:afterLines="50" w:line="360" w:lineRule="auto"/>
        <w:ind w:left="0" w:firstLine="0"/>
        <w:jc w:val="both"/>
        <w:textAlignment w:val="auto"/>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8</w:t>
      </w:r>
      <w:r>
        <w:rPr>
          <w:rFonts w:hint="default"/>
          <w:b/>
          <w:sz w:val="20"/>
          <w:szCs w:val="20"/>
          <w:lang w:val="en-US" w:eastAsia="zh-CN"/>
        </w:rPr>
        <w:t xml:space="preserve">  </w:t>
      </w:r>
      <w:r>
        <w:rPr>
          <w:rFonts w:hint="eastAsia"/>
          <w:b/>
          <w:sz w:val="20"/>
          <w:szCs w:val="20"/>
          <w:lang w:val="en-US" w:eastAsia="zh-CN"/>
        </w:rPr>
        <w:t>T</w:t>
      </w:r>
      <w:r>
        <w:rPr>
          <w:rFonts w:hint="default"/>
          <w:b/>
          <w:sz w:val="20"/>
          <w:szCs w:val="20"/>
          <w:lang w:val="en-US" w:eastAsia="zh-CN"/>
        </w:rPr>
        <w:t>he use of DCI format 1_0 scrambled by P-RNTI to adapt PRACH resources can be supported.</w:t>
      </w:r>
    </w:p>
    <w:p>
      <w:pPr>
        <w:pStyle w:val="3"/>
        <w:spacing w:before="0" w:beforeLines="50" w:after="0" w:afterLines="50" w:line="360" w:lineRule="auto"/>
        <w:ind w:left="573" w:hanging="573"/>
        <w:rPr>
          <w:rFonts w:hint="default"/>
          <w:b w:val="0"/>
          <w:bCs w:val="0"/>
          <w:sz w:val="30"/>
          <w:szCs w:val="30"/>
          <w:lang w:val="en-US" w:eastAsia="zh-CN"/>
        </w:rPr>
      </w:pPr>
      <w:bookmarkStart w:id="5" w:name="_GoBack"/>
      <w:bookmarkEnd w:id="5"/>
      <w:r>
        <w:rPr>
          <w:rFonts w:hint="default"/>
          <w:b w:val="0"/>
          <w:bCs w:val="0"/>
          <w:sz w:val="30"/>
          <w:szCs w:val="30"/>
          <w:lang w:val="en-US" w:eastAsia="zh-CN"/>
        </w:rPr>
        <w:t>Adaptation of paging occasions</w:t>
      </w:r>
    </w:p>
    <w:p>
      <w:pPr>
        <w:numPr>
          <w:ilvl w:val="0"/>
          <w:numId w:val="0"/>
        </w:numPr>
        <w:overflowPunct w:val="0"/>
        <w:autoSpaceDE w:val="0"/>
        <w:autoSpaceDN w:val="0"/>
        <w:adjustRightInd w:val="0"/>
        <w:spacing w:beforeLines="50" w:after="120" w:afterLines="50" w:line="360" w:lineRule="auto"/>
        <w:jc w:val="both"/>
        <w:textAlignment w:val="baseline"/>
        <w:rPr>
          <w:rFonts w:hint="eastAsia"/>
          <w:lang w:val="en-US" w:eastAsia="zh-CN"/>
        </w:rPr>
      </w:pPr>
      <w:r>
        <w:rPr>
          <w:rFonts w:hint="eastAsia"/>
          <w:sz w:val="20"/>
          <w:szCs w:val="20"/>
          <w:lang w:val="en-US" w:eastAsia="zh-CN"/>
        </w:rPr>
        <w:t>According to TR 38.864, one company's simulation results show that adaptation of paging occasion can achieve BS energy savings by 0.2%~42.3% in range. In addition, in the WID related to network energy saving, it is stated that adaptation of paging occasion includes limiting the paging occasions in time domain. For example, it is possible to set a paging time window in the I-DRX cycle and include all paging occasions in the I-DRX cycle in this paging time window. In this way, a single IDRX cycle can be divided into two parts, a part that includes the paging time window and a part that is the sleep time part. By setting the paging time window, a more concentrated sleep time can be reserved for the base station in the I-DRX cycle, thus realizing the network energy saving. the I-DRX cycle is schematically shown in Figure 1 below:</w:t>
      </w:r>
    </w:p>
    <w:p>
      <w:pPr>
        <w:numPr>
          <w:ilvl w:val="0"/>
          <w:numId w:val="0"/>
        </w:numPr>
        <w:overflowPunct w:val="0"/>
        <w:autoSpaceDE w:val="0"/>
        <w:autoSpaceDN w:val="0"/>
        <w:adjustRightInd w:val="0"/>
        <w:spacing w:beforeLines="50" w:after="120" w:afterLines="50" w:line="360" w:lineRule="auto"/>
        <w:jc w:val="center"/>
        <w:textAlignment w:val="baseline"/>
        <w:rPr>
          <w14:reflection w14:blurRad="0" w14:stA="100000" w14:stPos="0" w14:endA="0" w14:endPos="0" w14:dist="0" w14:dir="0" w14:fadeDir="0" w14:sx="0" w14:sy="0" w14:kx="0" w14:ky="0" w14:algn="b"/>
        </w:rPr>
      </w:pPr>
      <w:r>
        <w:drawing>
          <wp:inline distT="0" distB="0" distL="114300" distR="114300">
            <wp:extent cx="5257800" cy="2387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clrChange>
                        <a:clrFrom>
                          <a:srgbClr val="FFFFFF">
                            <a:alpha val="100000"/>
                          </a:srgbClr>
                        </a:clrFrom>
                        <a:clrTo>
                          <a:srgbClr val="FFFFFF">
                            <a:alpha val="100000"/>
                            <a:alpha val="0"/>
                          </a:srgbClr>
                        </a:clrTo>
                      </a:clrChange>
                    </a:blip>
                    <a:stretch>
                      <a:fillRect/>
                    </a:stretch>
                  </pic:blipFill>
                  <pic:spPr>
                    <a:xfrm>
                      <a:off x="0" y="0"/>
                      <a:ext cx="5257800" cy="2387600"/>
                    </a:xfrm>
                    <a:prstGeom prst="rect">
                      <a:avLst/>
                    </a:prstGeom>
                    <a:noFill/>
                    <a:ln>
                      <a:noFill/>
                    </a:ln>
                    <a:effectLst/>
                  </pic:spPr>
                </pic:pic>
              </a:graphicData>
            </a:graphic>
          </wp:inline>
        </w:drawing>
      </w:r>
    </w:p>
    <w:p>
      <w:pPr>
        <w:numPr>
          <w:ilvl w:val="0"/>
          <w:numId w:val="0"/>
        </w:numPr>
        <w:overflowPunct w:val="0"/>
        <w:autoSpaceDE w:val="0"/>
        <w:autoSpaceDN w:val="0"/>
        <w:adjustRightInd w:val="0"/>
        <w:spacing w:beforeLines="50" w:after="120" w:afterLines="50" w:line="360" w:lineRule="auto"/>
        <w:jc w:val="center"/>
        <w:textAlignment w:val="baseline"/>
        <w:rPr>
          <w:rFonts w:hint="eastAsia"/>
          <w:lang w:val="en-US" w:eastAsia="zh-CN"/>
        </w:rPr>
      </w:pPr>
      <w:r>
        <w:rPr>
          <w:rFonts w:hint="eastAsia"/>
          <w:lang w:val="en-US" w:eastAsia="zh-CN"/>
        </w:rPr>
        <w:t>图1</w:t>
      </w:r>
    </w:p>
    <w:p>
      <w:pPr>
        <w:numPr>
          <w:ilvl w:val="0"/>
          <w:numId w:val="0"/>
        </w:numPr>
        <w:spacing w:before="0" w:beforeLines="50" w:after="0" w:afterLines="50" w:line="360" w:lineRule="auto"/>
        <w:jc w:val="both"/>
        <w:rPr>
          <w:rFonts w:hint="default"/>
          <w:b/>
          <w:bCs/>
          <w:lang w:val="en-US" w:eastAsia="zh-CN"/>
        </w:rPr>
      </w:pPr>
      <w:r>
        <w:rPr>
          <w:rFonts w:hint="default"/>
          <w:b/>
          <w:sz w:val="20"/>
          <w:szCs w:val="20"/>
          <w:lang w:val="en-US" w:eastAsia="zh-CN"/>
        </w:rPr>
        <w:t xml:space="preserve">Proposal </w:t>
      </w:r>
      <w:r>
        <w:rPr>
          <w:rFonts w:hint="eastAsia"/>
          <w:b/>
          <w:sz w:val="20"/>
          <w:szCs w:val="20"/>
          <w:lang w:val="en-US" w:eastAsia="zh-CN"/>
        </w:rPr>
        <w:t>9</w:t>
      </w:r>
      <w:r>
        <w:rPr>
          <w:rFonts w:hint="default"/>
          <w:b/>
          <w:sz w:val="20"/>
          <w:szCs w:val="20"/>
          <w:lang w:val="en-US" w:eastAsia="zh-CN"/>
        </w:rPr>
        <w:t xml:space="preserve">  It is recommended that how to set up a paging time window that includes all paging occasions in a single I-DRX </w:t>
      </w:r>
      <w:r>
        <w:rPr>
          <w:rFonts w:hint="eastAsia"/>
          <w:b/>
          <w:sz w:val="20"/>
          <w:szCs w:val="20"/>
          <w:lang w:val="en-US" w:eastAsia="zh-CN"/>
        </w:rPr>
        <w:t xml:space="preserve">cycle </w:t>
      </w:r>
      <w:r>
        <w:rPr>
          <w:rFonts w:hint="default"/>
          <w:b/>
          <w:sz w:val="20"/>
          <w:szCs w:val="20"/>
          <w:lang w:val="en-US" w:eastAsia="zh-CN"/>
        </w:rPr>
        <w:t>can be studied.</w:t>
      </w:r>
    </w:p>
    <w:p>
      <w:pPr>
        <w:pStyle w:val="2"/>
        <w:overflowPunct/>
        <w:autoSpaceDE/>
        <w:autoSpaceDN/>
        <w:adjustRightInd/>
        <w:spacing w:before="0" w:beforeLines="50" w:after="0" w:afterLines="50" w:line="360" w:lineRule="auto"/>
        <w:ind w:left="0" w:firstLine="0"/>
        <w:textAlignment w:val="auto"/>
        <w:rPr>
          <w:rFonts w:ascii="Arial" w:hAnsi="Arial" w:eastAsia="宋体" w:cs="Arial"/>
          <w:b w:val="0"/>
          <w:bCs w:val="0"/>
          <w:kern w:val="32"/>
          <w:szCs w:val="32"/>
          <w:lang w:val="en-US" w:eastAsia="zh-CN" w:bidi="ar-SA"/>
        </w:rPr>
      </w:pPr>
      <w:r>
        <w:rPr>
          <w:rFonts w:ascii="Arial" w:hAnsi="Arial" w:eastAsia="宋体" w:cs="Arial"/>
          <w:b w:val="0"/>
          <w:bCs w:val="0"/>
          <w:kern w:val="32"/>
          <w:szCs w:val="32"/>
          <w:lang w:val="en-US" w:eastAsia="zh-CN" w:bidi="ar-SA"/>
        </w:rPr>
        <w:t>Conclusions</w:t>
      </w:r>
    </w:p>
    <w:p>
      <w:p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ome considerations on </w:t>
      </w:r>
      <w:r>
        <w:rPr>
          <w:rFonts w:hint="eastAsia" w:cs="Times New Roman"/>
          <w:sz w:val="20"/>
          <w:szCs w:val="20"/>
          <w:lang w:val="en-US" w:eastAsia="zh-CN"/>
        </w:rPr>
        <w:t>a</w:t>
      </w:r>
      <w:r>
        <w:rPr>
          <w:rFonts w:hint="eastAsia"/>
          <w:bCs/>
          <w:sz w:val="20"/>
          <w:szCs w:val="20"/>
          <w:lang w:val="en-US" w:eastAsia="zh-CN"/>
        </w:rPr>
        <w:t>daptation</w:t>
      </w:r>
      <w:r>
        <w:rPr>
          <w:rFonts w:hint="default" w:ascii="Times New Roman" w:hAnsi="Times New Roman" w:cs="Times New Roman"/>
          <w:sz w:val="20"/>
          <w:szCs w:val="20"/>
          <w:lang w:val="en-US" w:eastAsia="zh-CN"/>
        </w:rPr>
        <w:t xml:space="preserve"> of common signal/channel</w:t>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 xml:space="preserve">are discussed, </w:t>
      </w:r>
      <w:r>
        <w:rPr>
          <w:rFonts w:hint="default" w:ascii="Times New Roman" w:hAnsi="Times New Roman" w:cs="Times New Roman"/>
          <w:sz w:val="20"/>
          <w:szCs w:val="20"/>
          <w:lang w:val="en-US" w:eastAsia="zh-CN"/>
        </w:rPr>
        <w:t>and the following</w:t>
      </w:r>
      <w:r>
        <w:rPr>
          <w:rFonts w:hint="eastAsia"/>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 are</w:t>
      </w:r>
      <w:r>
        <w:rPr>
          <w:rFonts w:hint="default" w:ascii="Times New Roman" w:hAnsi="Times New Roman" w:cs="Times New Roman"/>
          <w:sz w:val="20"/>
          <w:szCs w:val="20"/>
          <w:lang w:val="en-US" w:eastAsia="zh-CN"/>
        </w:rPr>
        <w:t xml:space="preserve"> made.</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1</w:t>
      </w:r>
      <w:r>
        <w:rPr>
          <w:rFonts w:hint="default"/>
          <w:b/>
          <w:sz w:val="20"/>
          <w:szCs w:val="20"/>
          <w:lang w:val="en-US" w:eastAsia="zh-CN"/>
        </w:rPr>
        <w:t xml:space="preserve"> </w:t>
      </w:r>
      <w:r>
        <w:rPr>
          <w:rFonts w:hint="eastAsia"/>
          <w:b/>
          <w:sz w:val="20"/>
          <w:szCs w:val="20"/>
          <w:lang w:val="en-US" w:eastAsia="zh-CN"/>
        </w:rPr>
        <w:t xml:space="preserve"> For Rel-19 NES-capable UE</w:t>
      </w:r>
      <w:r>
        <w:rPr>
          <w:rFonts w:hint="default"/>
          <w:b/>
          <w:sz w:val="20"/>
          <w:szCs w:val="20"/>
          <w:lang w:val="en-US" w:eastAsia="zh-CN"/>
        </w:rPr>
        <w:t>’</w:t>
      </w:r>
      <w:r>
        <w:rPr>
          <w:rFonts w:hint="eastAsia"/>
          <w:b/>
          <w:sz w:val="20"/>
          <w:szCs w:val="20"/>
          <w:lang w:val="en-US" w:eastAsia="zh-CN"/>
        </w:rPr>
        <w:t>s SCell，adaptation of CD-SSB on sync raster is not supported.</w:t>
      </w:r>
    </w:p>
    <w:p>
      <w:pPr>
        <w:spacing w:before="0" w:beforeLines="50" w:after="0" w:afterLines="50" w:line="360" w:lineRule="auto"/>
        <w:jc w:val="both"/>
        <w:rPr>
          <w:rFonts w:hint="default"/>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2</w:t>
      </w:r>
      <w:r>
        <w:rPr>
          <w:rFonts w:hint="default"/>
          <w:b/>
          <w:sz w:val="20"/>
          <w:szCs w:val="20"/>
          <w:lang w:val="en-US" w:eastAsia="zh-CN"/>
        </w:rPr>
        <w:t xml:space="preserve"> </w:t>
      </w:r>
      <w:r>
        <w:rPr>
          <w:rFonts w:hint="eastAsia"/>
          <w:b/>
          <w:sz w:val="20"/>
          <w:szCs w:val="20"/>
          <w:lang w:val="en-US" w:eastAsia="zh-CN"/>
        </w:rPr>
        <w:t xml:space="preserve"> </w:t>
      </w:r>
      <w:r>
        <w:rPr>
          <w:rFonts w:hint="default"/>
          <w:b/>
          <w:sz w:val="20"/>
          <w:szCs w:val="20"/>
          <w:lang w:val="en-US" w:eastAsia="zh-CN"/>
        </w:rPr>
        <w:t>SSB adaptation of Rel-19 NES-capable UEs in idle/inactive mode should not be supported.</w:t>
      </w:r>
    </w:p>
    <w:p>
      <w:pPr>
        <w:spacing w:before="0" w:beforeLines="50" w:after="0" w:afterLines="50" w:line="360" w:lineRule="auto"/>
        <w:jc w:val="both"/>
        <w:rPr>
          <w:rFonts w:hint="eastAsia"/>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3</w:t>
      </w:r>
      <w:r>
        <w:rPr>
          <w:rFonts w:hint="default"/>
          <w:b/>
          <w:sz w:val="20"/>
          <w:szCs w:val="20"/>
          <w:lang w:val="en-US" w:eastAsia="zh-CN"/>
        </w:rPr>
        <w:t xml:space="preserve"> </w:t>
      </w:r>
      <w:r>
        <w:rPr>
          <w:rFonts w:hint="eastAsia"/>
          <w:b/>
          <w:sz w:val="20"/>
          <w:szCs w:val="20"/>
          <w:lang w:val="en-US" w:eastAsia="zh-CN"/>
        </w:rPr>
        <w:t>When the PRACH configuration index for additional PRACH resources is the same as the PRACH configuration index for legacy PRACH resources, a combination of Opt 1-2b and Opt 1-4 should be considered to determine additional PRACH resources.</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4</w:t>
      </w:r>
      <w:r>
        <w:rPr>
          <w:rFonts w:hint="default"/>
          <w:b/>
          <w:sz w:val="20"/>
          <w:szCs w:val="20"/>
          <w:lang w:val="en-US" w:eastAsia="zh-CN"/>
        </w:rPr>
        <w:t xml:space="preserve"> </w:t>
      </w:r>
      <w:r>
        <w:rPr>
          <w:rFonts w:hint="eastAsia"/>
          <w:b/>
          <w:sz w:val="20"/>
          <w:szCs w:val="20"/>
          <w:lang w:val="en-US" w:eastAsia="zh-CN"/>
        </w:rPr>
        <w:t xml:space="preserve"> When the PRACH configuration index for the additional PRACH resource is different from the PRACH configuration index for the legacy PRACH resource, a combination of Opt 1-2b and Opt 1-4 should be considered to determine additional PRACH resources.</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5</w:t>
      </w:r>
      <w:r>
        <w:rPr>
          <w:rFonts w:hint="default"/>
          <w:b/>
          <w:sz w:val="20"/>
          <w:szCs w:val="20"/>
          <w:lang w:val="en-US" w:eastAsia="zh-CN"/>
        </w:rPr>
        <w:t xml:space="preserve"> </w:t>
      </w:r>
      <w:r>
        <w:rPr>
          <w:rFonts w:hint="eastAsia"/>
          <w:b/>
          <w:sz w:val="20"/>
          <w:szCs w:val="20"/>
          <w:lang w:val="en-US" w:eastAsia="zh-CN"/>
        </w:rPr>
        <w:t xml:space="preserve"> Option 1 can be supported: frequency domain parameters can be configured separately for the additional PRACH resources.</w:t>
      </w:r>
    </w:p>
    <w:p>
      <w:pPr>
        <w:numPr>
          <w:ilvl w:val="0"/>
          <w:numId w:val="0"/>
        </w:numPr>
        <w:spacing w:before="0" w:beforeLines="50" w:after="0" w:afterLines="50" w:line="360" w:lineRule="auto"/>
        <w:jc w:val="both"/>
        <w:rPr>
          <w:rFonts w:hint="default" w:ascii="Times New Roman" w:hAnsi="Times New Roman" w:cs="Times New Roman"/>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6</w:t>
      </w:r>
      <w:r>
        <w:rPr>
          <w:rFonts w:hint="default"/>
          <w:b/>
          <w:sz w:val="20"/>
          <w:szCs w:val="20"/>
          <w:lang w:val="en-US" w:eastAsia="zh-CN"/>
        </w:rPr>
        <w:t xml:space="preserve">  Alt 2-2</w:t>
      </w:r>
      <w:r>
        <w:rPr>
          <w:rFonts w:hint="eastAsia"/>
          <w:b/>
          <w:sz w:val="20"/>
          <w:szCs w:val="20"/>
          <w:lang w:val="en-US" w:eastAsia="zh-CN"/>
        </w:rPr>
        <w:t xml:space="preserve"> can</w:t>
      </w:r>
      <w:r>
        <w:rPr>
          <w:rFonts w:hint="default"/>
          <w:b/>
          <w:sz w:val="20"/>
          <w:szCs w:val="20"/>
          <w:lang w:val="en-US" w:eastAsia="zh-CN"/>
        </w:rPr>
        <w:t xml:space="preserve"> be </w:t>
      </w:r>
      <w:r>
        <w:rPr>
          <w:rFonts w:hint="eastAsia"/>
          <w:b/>
          <w:sz w:val="20"/>
          <w:szCs w:val="20"/>
          <w:lang w:val="en-US" w:eastAsia="zh-CN"/>
        </w:rPr>
        <w:t>supported</w:t>
      </w:r>
      <w:r>
        <w:rPr>
          <w:rFonts w:hint="default"/>
          <w:b/>
          <w:sz w:val="20"/>
          <w:szCs w:val="20"/>
          <w:lang w:val="en-US" w:eastAsia="zh-CN"/>
        </w:rPr>
        <w:t>: SSB-to-RO mapping cycle level</w:t>
      </w:r>
      <w:r>
        <w:rPr>
          <w:rFonts w:hint="eastAsia"/>
          <w:b/>
          <w:sz w:val="20"/>
          <w:szCs w:val="20"/>
          <w:lang w:val="en-US" w:eastAsia="zh-CN"/>
        </w:rPr>
        <w:t xml:space="preserve"> adaptation</w:t>
      </w:r>
      <w:r>
        <w:rPr>
          <w:rFonts w:hint="default"/>
          <w:b/>
          <w:sz w:val="20"/>
          <w:szCs w:val="20"/>
          <w:lang w:val="en-US" w:eastAsia="zh-CN"/>
        </w:rPr>
        <w:t>.</w:t>
      </w:r>
    </w:p>
    <w:p>
      <w:pPr>
        <w:numPr>
          <w:ilvl w:val="0"/>
          <w:numId w:val="0"/>
        </w:numPr>
        <w:spacing w:before="0" w:beforeLines="50" w:after="0" w:afterLines="50" w:line="360" w:lineRule="auto"/>
        <w:jc w:val="both"/>
        <w:rPr>
          <w:rFonts w:hint="default" w:ascii="Times New Roman" w:hAnsi="Times New Roman" w:cs="Times New Roman"/>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7</w:t>
      </w:r>
      <w:r>
        <w:rPr>
          <w:rFonts w:hint="default"/>
          <w:b/>
          <w:sz w:val="20"/>
          <w:szCs w:val="20"/>
          <w:lang w:val="en-US" w:eastAsia="zh-CN"/>
        </w:rPr>
        <w:t xml:space="preserve">  PRACH adaptation based on cell DRX operation can be considered.</w:t>
      </w:r>
    </w:p>
    <w:p>
      <w:pPr>
        <w:numPr>
          <w:ilvl w:val="0"/>
          <w:numId w:val="0"/>
        </w:numPr>
        <w:spacing w:before="0" w:beforeLines="50" w:after="0" w:afterLines="50" w:line="360" w:lineRule="auto"/>
        <w:jc w:val="both"/>
        <w:rPr>
          <w:rFonts w:hint="default" w:ascii="Times New Roman" w:hAnsi="Times New Roman" w:cs="Times New Roman"/>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8</w:t>
      </w:r>
      <w:r>
        <w:rPr>
          <w:rFonts w:hint="default"/>
          <w:b/>
          <w:sz w:val="20"/>
          <w:szCs w:val="20"/>
          <w:lang w:val="en-US" w:eastAsia="zh-CN"/>
        </w:rPr>
        <w:t xml:space="preserve">  </w:t>
      </w:r>
      <w:r>
        <w:rPr>
          <w:rFonts w:hint="eastAsia"/>
          <w:b/>
          <w:sz w:val="20"/>
          <w:szCs w:val="20"/>
          <w:lang w:val="en-US" w:eastAsia="zh-CN"/>
        </w:rPr>
        <w:t>T</w:t>
      </w:r>
      <w:r>
        <w:rPr>
          <w:rFonts w:hint="default"/>
          <w:b/>
          <w:sz w:val="20"/>
          <w:szCs w:val="20"/>
          <w:lang w:val="en-US" w:eastAsia="zh-CN"/>
        </w:rPr>
        <w:t>he use of DCI format 1_0 scrambled by P-RNTI to adapt PRACH resources can be supported.</w:t>
      </w:r>
    </w:p>
    <w:p>
      <w:pPr>
        <w:spacing w:before="0" w:beforeLines="50" w:after="0" w:afterLines="50" w:line="360" w:lineRule="auto"/>
        <w:jc w:val="both"/>
        <w:rPr>
          <w:rFonts w:hint="default" w:ascii="Times New Roman" w:hAnsi="Times New Roman" w:cs="Times New Roman"/>
          <w:b/>
          <w:sz w:val="20"/>
          <w:szCs w:val="20"/>
          <w:lang w:val="en-US" w:eastAsia="zh-CN"/>
        </w:rPr>
      </w:pPr>
      <w:r>
        <w:rPr>
          <w:rFonts w:hint="default"/>
          <w:b/>
          <w:sz w:val="20"/>
          <w:szCs w:val="20"/>
          <w:lang w:val="en-US" w:eastAsia="zh-CN"/>
        </w:rPr>
        <w:t xml:space="preserve">Proposal </w:t>
      </w:r>
      <w:r>
        <w:rPr>
          <w:rFonts w:hint="eastAsia"/>
          <w:b/>
          <w:sz w:val="20"/>
          <w:szCs w:val="20"/>
          <w:lang w:val="en-US" w:eastAsia="zh-CN"/>
        </w:rPr>
        <w:t>9</w:t>
      </w:r>
      <w:r>
        <w:rPr>
          <w:rFonts w:hint="default"/>
          <w:b/>
          <w:sz w:val="20"/>
          <w:szCs w:val="20"/>
          <w:lang w:val="en-US" w:eastAsia="zh-CN"/>
        </w:rPr>
        <w:t xml:space="preserve">  It is recommended that how to set up a paging time window that includes all paging occasions in a single I-DRX </w:t>
      </w:r>
      <w:r>
        <w:rPr>
          <w:rFonts w:hint="eastAsia"/>
          <w:b/>
          <w:sz w:val="20"/>
          <w:szCs w:val="20"/>
          <w:lang w:val="en-US" w:eastAsia="zh-CN"/>
        </w:rPr>
        <w:t xml:space="preserve">cycle </w:t>
      </w:r>
      <w:r>
        <w:rPr>
          <w:rFonts w:hint="default"/>
          <w:b/>
          <w:sz w:val="20"/>
          <w:szCs w:val="20"/>
          <w:lang w:val="en-US" w:eastAsia="zh-CN"/>
        </w:rPr>
        <w:t>can be studied.</w:t>
      </w:r>
    </w:p>
    <w:p>
      <w:pPr>
        <w:pStyle w:val="2"/>
        <w:overflowPunct/>
        <w:autoSpaceDE/>
        <w:autoSpaceDN/>
        <w:adjustRightInd/>
        <w:spacing w:before="240" w:beforeLines="0" w:after="180" w:afterLines="0" w:line="24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7"/>
        <w:numPr>
          <w:ilvl w:val="0"/>
          <w:numId w:val="10"/>
        </w:numPr>
        <w:spacing w:before="0" w:line="360" w:lineRule="auto"/>
        <w:ind w:left="0" w:leftChars="0" w:firstLine="0"/>
        <w:jc w:val="both"/>
        <w:rPr>
          <w:rFonts w:hint="default" w:ascii="Times New Roman" w:hAnsi="Times New Roman" w:eastAsia="宋体"/>
          <w:sz w:val="20"/>
          <w:lang w:val="en-US" w:eastAsia="zh-CN"/>
        </w:rPr>
      </w:pP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Draft Report of 3GPP TSG RAN WG1 #118b v0.1.0</w:t>
      </w:r>
      <w:r>
        <w:rPr>
          <w:rFonts w:hint="default" w:ascii="Times New Roman" w:hAnsi="Times New Roman" w:eastAsia="宋体"/>
          <w:sz w:val="20"/>
          <w:lang w:val="en-US" w:eastAsia="zh-CN"/>
        </w:rPr>
        <w:t>”</w:t>
      </w:r>
      <w:r>
        <w:rPr>
          <w:rFonts w:hint="eastAsia" w:ascii="Times New Roman" w:hAnsi="Times New Roman" w:eastAsia="宋体"/>
          <w:sz w:val="20"/>
          <w:lang w:val="en-US" w:eastAsia="zh-CN"/>
        </w:rPr>
        <w:t>, RAN1#118bis</w:t>
      </w:r>
    </w:p>
    <w:p>
      <w:pPr>
        <w:pStyle w:val="27"/>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7"/>
        <w:numPr>
          <w:ilvl w:val="-1"/>
          <w:numId w:val="0"/>
        </w:numPr>
        <w:spacing w:before="0" w:line="360" w:lineRule="auto"/>
        <w:ind w:left="0" w:leftChars="0" w:firstLine="0"/>
        <w:jc w:val="both"/>
        <w:rPr>
          <w:rFonts w:hint="default" w:ascii="Times New Roman" w:hAnsi="Times New Roman" w:eastAsia="宋体"/>
          <w:sz w:val="20"/>
          <w:lang w:val="en-US" w:eastAsia="zh-CN"/>
        </w:rPr>
      </w:pPr>
    </w:p>
    <w:p>
      <w:pPr>
        <w:pStyle w:val="27"/>
        <w:numPr>
          <w:ilvl w:val="-1"/>
          <w:numId w:val="0"/>
        </w:numPr>
        <w:spacing w:before="0" w:beforeLines="0" w:afterLines="0" w:line="360" w:lineRule="auto"/>
        <w:ind w:left="0" w:leftChars="0" w:firstLine="0"/>
        <w:rPr>
          <w:rFonts w:ascii="Times New Roman" w:hAnsi="Times New Roman"/>
          <w:lang w:val="zh-CN"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5D61159"/>
    <w:multiLevelType w:val="multilevel"/>
    <w:tmpl w:val="05D61159"/>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9EB2A5B"/>
    <w:multiLevelType w:val="multilevel"/>
    <w:tmpl w:val="39EB2A5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D1F3221"/>
    <w:multiLevelType w:val="multilevel"/>
    <w:tmpl w:val="5D1F322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2F87385"/>
    <w:multiLevelType w:val="multilevel"/>
    <w:tmpl w:val="72F873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F372CC3"/>
    <w:multiLevelType w:val="multilevel"/>
    <w:tmpl w:val="7F372C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7"/>
  </w:num>
  <w:num w:numId="4">
    <w:abstractNumId w:val="9"/>
  </w:num>
  <w:num w:numId="5">
    <w:abstractNumId w:val="3"/>
  </w:num>
  <w:num w:numId="6">
    <w:abstractNumId w:val="8"/>
  </w:num>
  <w:num w:numId="7">
    <w:abstractNumId w:val="1"/>
  </w:num>
  <w:num w:numId="8">
    <w:abstractNumId w:val="5"/>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82236"/>
    <w:rsid w:val="003D2935"/>
    <w:rsid w:val="004B3D0A"/>
    <w:rsid w:val="004C43F2"/>
    <w:rsid w:val="00521116"/>
    <w:rsid w:val="00A37C1C"/>
    <w:rsid w:val="00A87743"/>
    <w:rsid w:val="00C40150"/>
    <w:rsid w:val="00D0754F"/>
    <w:rsid w:val="00D25C57"/>
    <w:rsid w:val="00E658FD"/>
    <w:rsid w:val="00E7058B"/>
    <w:rsid w:val="00EF4818"/>
    <w:rsid w:val="010334B8"/>
    <w:rsid w:val="01081B3E"/>
    <w:rsid w:val="01096691"/>
    <w:rsid w:val="01225F6B"/>
    <w:rsid w:val="013F7A9A"/>
    <w:rsid w:val="018E309C"/>
    <w:rsid w:val="01914021"/>
    <w:rsid w:val="01A5084E"/>
    <w:rsid w:val="01C602D6"/>
    <w:rsid w:val="01C64635"/>
    <w:rsid w:val="01C95A51"/>
    <w:rsid w:val="01D84795"/>
    <w:rsid w:val="01DE08B7"/>
    <w:rsid w:val="01EE0B37"/>
    <w:rsid w:val="01FC7E4D"/>
    <w:rsid w:val="020E6E6E"/>
    <w:rsid w:val="02277D98"/>
    <w:rsid w:val="022B099C"/>
    <w:rsid w:val="02366D2D"/>
    <w:rsid w:val="024B344F"/>
    <w:rsid w:val="02574CE3"/>
    <w:rsid w:val="027B1A20"/>
    <w:rsid w:val="02821545"/>
    <w:rsid w:val="029535AF"/>
    <w:rsid w:val="02AE06E2"/>
    <w:rsid w:val="02BA26ED"/>
    <w:rsid w:val="02BB280A"/>
    <w:rsid w:val="0302517C"/>
    <w:rsid w:val="03292219"/>
    <w:rsid w:val="032D0C33"/>
    <w:rsid w:val="03333EBB"/>
    <w:rsid w:val="03600D99"/>
    <w:rsid w:val="03832252"/>
    <w:rsid w:val="038D2B62"/>
    <w:rsid w:val="039242F7"/>
    <w:rsid w:val="03986975"/>
    <w:rsid w:val="03C91325"/>
    <w:rsid w:val="03C91DEF"/>
    <w:rsid w:val="03DF12E7"/>
    <w:rsid w:val="03EE7116"/>
    <w:rsid w:val="04296264"/>
    <w:rsid w:val="043D1681"/>
    <w:rsid w:val="043D4F04"/>
    <w:rsid w:val="043E7102"/>
    <w:rsid w:val="046105A7"/>
    <w:rsid w:val="04664A43"/>
    <w:rsid w:val="04670471"/>
    <w:rsid w:val="04860B7C"/>
    <w:rsid w:val="048C0506"/>
    <w:rsid w:val="04E1218F"/>
    <w:rsid w:val="050B2FD3"/>
    <w:rsid w:val="056F3D1A"/>
    <w:rsid w:val="05754C01"/>
    <w:rsid w:val="057A1088"/>
    <w:rsid w:val="057B238D"/>
    <w:rsid w:val="05921FB2"/>
    <w:rsid w:val="05BE0571"/>
    <w:rsid w:val="05C55C85"/>
    <w:rsid w:val="05CD6914"/>
    <w:rsid w:val="05D22D9C"/>
    <w:rsid w:val="05EE1047"/>
    <w:rsid w:val="05F11FCC"/>
    <w:rsid w:val="06045B3B"/>
    <w:rsid w:val="060B4B82"/>
    <w:rsid w:val="061C226D"/>
    <w:rsid w:val="06241521"/>
    <w:rsid w:val="062D641E"/>
    <w:rsid w:val="062F22CF"/>
    <w:rsid w:val="06467E10"/>
    <w:rsid w:val="064E554F"/>
    <w:rsid w:val="06631006"/>
    <w:rsid w:val="067B6140"/>
    <w:rsid w:val="0682513E"/>
    <w:rsid w:val="068B669D"/>
    <w:rsid w:val="06963DDF"/>
    <w:rsid w:val="06B22BCB"/>
    <w:rsid w:val="06B4338F"/>
    <w:rsid w:val="06B6596F"/>
    <w:rsid w:val="06D76DC6"/>
    <w:rsid w:val="06DB01C7"/>
    <w:rsid w:val="06E03F5B"/>
    <w:rsid w:val="06E95DE7"/>
    <w:rsid w:val="06FD7C23"/>
    <w:rsid w:val="07041B2D"/>
    <w:rsid w:val="07410D95"/>
    <w:rsid w:val="07412138"/>
    <w:rsid w:val="075014AD"/>
    <w:rsid w:val="07506A90"/>
    <w:rsid w:val="075B4E21"/>
    <w:rsid w:val="078263E0"/>
    <w:rsid w:val="07890DE8"/>
    <w:rsid w:val="079743E7"/>
    <w:rsid w:val="07A03B2F"/>
    <w:rsid w:val="07AB282B"/>
    <w:rsid w:val="07AF4AC4"/>
    <w:rsid w:val="07BC033E"/>
    <w:rsid w:val="07DE508C"/>
    <w:rsid w:val="07E12AFC"/>
    <w:rsid w:val="083126FA"/>
    <w:rsid w:val="08324BB7"/>
    <w:rsid w:val="0843731D"/>
    <w:rsid w:val="08575FBE"/>
    <w:rsid w:val="088E04ED"/>
    <w:rsid w:val="08912678"/>
    <w:rsid w:val="08B14A4A"/>
    <w:rsid w:val="08B7185B"/>
    <w:rsid w:val="08BE5FB6"/>
    <w:rsid w:val="08D602B0"/>
    <w:rsid w:val="08EE3C25"/>
    <w:rsid w:val="08F161BC"/>
    <w:rsid w:val="0919607C"/>
    <w:rsid w:val="091D7698"/>
    <w:rsid w:val="09386CEF"/>
    <w:rsid w:val="093A776C"/>
    <w:rsid w:val="09546DE2"/>
    <w:rsid w:val="095E2632"/>
    <w:rsid w:val="09700C89"/>
    <w:rsid w:val="09731A1B"/>
    <w:rsid w:val="09891C4A"/>
    <w:rsid w:val="09C11875"/>
    <w:rsid w:val="09E853AC"/>
    <w:rsid w:val="0A1056C4"/>
    <w:rsid w:val="0A2A24F0"/>
    <w:rsid w:val="0A3C44C2"/>
    <w:rsid w:val="0A573505"/>
    <w:rsid w:val="0A940E9D"/>
    <w:rsid w:val="0A944117"/>
    <w:rsid w:val="0AA239BF"/>
    <w:rsid w:val="0AB5350C"/>
    <w:rsid w:val="0AC8754E"/>
    <w:rsid w:val="0AD04CB6"/>
    <w:rsid w:val="0AEB5F77"/>
    <w:rsid w:val="0AFF049B"/>
    <w:rsid w:val="0B204305"/>
    <w:rsid w:val="0B2D2264"/>
    <w:rsid w:val="0B4564A6"/>
    <w:rsid w:val="0B4F2D08"/>
    <w:rsid w:val="0B5645CC"/>
    <w:rsid w:val="0B5A0448"/>
    <w:rsid w:val="0B7E082A"/>
    <w:rsid w:val="0B8C4E76"/>
    <w:rsid w:val="0BA27CA4"/>
    <w:rsid w:val="0BBE3D51"/>
    <w:rsid w:val="0BDD4606"/>
    <w:rsid w:val="0C0761ED"/>
    <w:rsid w:val="0C10213B"/>
    <w:rsid w:val="0C201AD9"/>
    <w:rsid w:val="0C354C94"/>
    <w:rsid w:val="0C3F70FC"/>
    <w:rsid w:val="0C6B3E4C"/>
    <w:rsid w:val="0C7A3E69"/>
    <w:rsid w:val="0C833857"/>
    <w:rsid w:val="0CCC4667"/>
    <w:rsid w:val="0CCD626F"/>
    <w:rsid w:val="0CD41A6D"/>
    <w:rsid w:val="0CFE7F60"/>
    <w:rsid w:val="0D080870"/>
    <w:rsid w:val="0D092E4F"/>
    <w:rsid w:val="0D3D618A"/>
    <w:rsid w:val="0D6E5C96"/>
    <w:rsid w:val="0D8008CF"/>
    <w:rsid w:val="0D84318F"/>
    <w:rsid w:val="0D9F3231"/>
    <w:rsid w:val="0DA54748"/>
    <w:rsid w:val="0DCC602F"/>
    <w:rsid w:val="0DE7465B"/>
    <w:rsid w:val="0DF54C75"/>
    <w:rsid w:val="0DFE15A3"/>
    <w:rsid w:val="0E0319F2"/>
    <w:rsid w:val="0E2C3933"/>
    <w:rsid w:val="0E2C734E"/>
    <w:rsid w:val="0E4D44EF"/>
    <w:rsid w:val="0E5C65DD"/>
    <w:rsid w:val="0E83191D"/>
    <w:rsid w:val="0E950075"/>
    <w:rsid w:val="0EF85813"/>
    <w:rsid w:val="0F0B0B79"/>
    <w:rsid w:val="0F396010"/>
    <w:rsid w:val="0F3D018A"/>
    <w:rsid w:val="0F524340"/>
    <w:rsid w:val="0F660FF2"/>
    <w:rsid w:val="0FBB3C35"/>
    <w:rsid w:val="0FCD6A7A"/>
    <w:rsid w:val="0FD746B6"/>
    <w:rsid w:val="0FD9288C"/>
    <w:rsid w:val="0FD94151"/>
    <w:rsid w:val="0FF80ADD"/>
    <w:rsid w:val="10306B1E"/>
    <w:rsid w:val="10782796"/>
    <w:rsid w:val="107F6857"/>
    <w:rsid w:val="10931CC7"/>
    <w:rsid w:val="109A0E82"/>
    <w:rsid w:val="109E7152"/>
    <w:rsid w:val="10A04854"/>
    <w:rsid w:val="10B2256F"/>
    <w:rsid w:val="10C54ADC"/>
    <w:rsid w:val="10E904CB"/>
    <w:rsid w:val="10F51AD3"/>
    <w:rsid w:val="112D573C"/>
    <w:rsid w:val="11563482"/>
    <w:rsid w:val="11624912"/>
    <w:rsid w:val="11BC7B3F"/>
    <w:rsid w:val="11BD0256"/>
    <w:rsid w:val="11DB0D58"/>
    <w:rsid w:val="11E164E5"/>
    <w:rsid w:val="11E74B6B"/>
    <w:rsid w:val="11F363FF"/>
    <w:rsid w:val="122B7BDE"/>
    <w:rsid w:val="123B45F5"/>
    <w:rsid w:val="123D56D9"/>
    <w:rsid w:val="124E4501"/>
    <w:rsid w:val="12550A22"/>
    <w:rsid w:val="12576123"/>
    <w:rsid w:val="12960691"/>
    <w:rsid w:val="12A365A3"/>
    <w:rsid w:val="12A44024"/>
    <w:rsid w:val="12AE6B32"/>
    <w:rsid w:val="12B75243"/>
    <w:rsid w:val="12DF4C74"/>
    <w:rsid w:val="13101155"/>
    <w:rsid w:val="131577DB"/>
    <w:rsid w:val="131D046B"/>
    <w:rsid w:val="13344F8B"/>
    <w:rsid w:val="134925B4"/>
    <w:rsid w:val="135C7F4F"/>
    <w:rsid w:val="136E36ED"/>
    <w:rsid w:val="137F720A"/>
    <w:rsid w:val="139559A9"/>
    <w:rsid w:val="139562FC"/>
    <w:rsid w:val="139F60D9"/>
    <w:rsid w:val="13A67F63"/>
    <w:rsid w:val="13D61E18"/>
    <w:rsid w:val="13DF0529"/>
    <w:rsid w:val="13F554B1"/>
    <w:rsid w:val="14327D73"/>
    <w:rsid w:val="144A106E"/>
    <w:rsid w:val="145058F5"/>
    <w:rsid w:val="145C6F22"/>
    <w:rsid w:val="14676463"/>
    <w:rsid w:val="149C635D"/>
    <w:rsid w:val="14AC682E"/>
    <w:rsid w:val="14C53B07"/>
    <w:rsid w:val="14CB142B"/>
    <w:rsid w:val="14D80741"/>
    <w:rsid w:val="14E32355"/>
    <w:rsid w:val="14EC578B"/>
    <w:rsid w:val="14F05DE7"/>
    <w:rsid w:val="14F36643"/>
    <w:rsid w:val="15064236"/>
    <w:rsid w:val="151F77AB"/>
    <w:rsid w:val="1567791C"/>
    <w:rsid w:val="15682461"/>
    <w:rsid w:val="158935CD"/>
    <w:rsid w:val="15AD3A82"/>
    <w:rsid w:val="15BF12E4"/>
    <w:rsid w:val="15CE7E95"/>
    <w:rsid w:val="15DC256D"/>
    <w:rsid w:val="15E82AFC"/>
    <w:rsid w:val="16501227"/>
    <w:rsid w:val="1670755D"/>
    <w:rsid w:val="16722A60"/>
    <w:rsid w:val="168C6E8D"/>
    <w:rsid w:val="16AE7042"/>
    <w:rsid w:val="16E52799"/>
    <w:rsid w:val="170B1239"/>
    <w:rsid w:val="170B51DD"/>
    <w:rsid w:val="17326BFF"/>
    <w:rsid w:val="173340E6"/>
    <w:rsid w:val="1766497C"/>
    <w:rsid w:val="17846D8A"/>
    <w:rsid w:val="179358ED"/>
    <w:rsid w:val="17AA1863"/>
    <w:rsid w:val="17B13154"/>
    <w:rsid w:val="17EE22F4"/>
    <w:rsid w:val="17EF5450"/>
    <w:rsid w:val="182A1DB2"/>
    <w:rsid w:val="183D7BCD"/>
    <w:rsid w:val="183E7952"/>
    <w:rsid w:val="18517A73"/>
    <w:rsid w:val="187C1BBC"/>
    <w:rsid w:val="188259C1"/>
    <w:rsid w:val="18985C69"/>
    <w:rsid w:val="189D42EF"/>
    <w:rsid w:val="18A23FFA"/>
    <w:rsid w:val="18B21AD6"/>
    <w:rsid w:val="18DD095C"/>
    <w:rsid w:val="18EA08C6"/>
    <w:rsid w:val="18FC598D"/>
    <w:rsid w:val="19011E15"/>
    <w:rsid w:val="191D5EC2"/>
    <w:rsid w:val="19286D8E"/>
    <w:rsid w:val="196A0E57"/>
    <w:rsid w:val="19B6063F"/>
    <w:rsid w:val="19C83DDC"/>
    <w:rsid w:val="19DB757A"/>
    <w:rsid w:val="19EE0799"/>
    <w:rsid w:val="19F743DF"/>
    <w:rsid w:val="1A1928E2"/>
    <w:rsid w:val="1A4768A9"/>
    <w:rsid w:val="1A682661"/>
    <w:rsid w:val="1A942215"/>
    <w:rsid w:val="1AAD617C"/>
    <w:rsid w:val="1ACC2385"/>
    <w:rsid w:val="1AD0213C"/>
    <w:rsid w:val="1AD1680D"/>
    <w:rsid w:val="1AE35DF7"/>
    <w:rsid w:val="1AE462AF"/>
    <w:rsid w:val="1AE71409"/>
    <w:rsid w:val="1AE945CD"/>
    <w:rsid w:val="1AF65748"/>
    <w:rsid w:val="1AFF24AA"/>
    <w:rsid w:val="1B1122A8"/>
    <w:rsid w:val="1B1C3409"/>
    <w:rsid w:val="1B1F438E"/>
    <w:rsid w:val="1B276601"/>
    <w:rsid w:val="1B450D4A"/>
    <w:rsid w:val="1B5744A8"/>
    <w:rsid w:val="1B65127F"/>
    <w:rsid w:val="1B685086"/>
    <w:rsid w:val="1B867AAD"/>
    <w:rsid w:val="1BAD7475"/>
    <w:rsid w:val="1BD42BB8"/>
    <w:rsid w:val="1BEA14D8"/>
    <w:rsid w:val="1BED197A"/>
    <w:rsid w:val="1BFC453C"/>
    <w:rsid w:val="1BFF39FC"/>
    <w:rsid w:val="1C1823A7"/>
    <w:rsid w:val="1C274BC0"/>
    <w:rsid w:val="1C2A6CEA"/>
    <w:rsid w:val="1C3734CF"/>
    <w:rsid w:val="1C4A27F6"/>
    <w:rsid w:val="1C61021D"/>
    <w:rsid w:val="1C8E5869"/>
    <w:rsid w:val="1CA3450A"/>
    <w:rsid w:val="1CB908AC"/>
    <w:rsid w:val="1CD34CD9"/>
    <w:rsid w:val="1CD65E17"/>
    <w:rsid w:val="1CDA2465"/>
    <w:rsid w:val="1CE407F6"/>
    <w:rsid w:val="1D176197"/>
    <w:rsid w:val="1D345FF7"/>
    <w:rsid w:val="1D3A2CBF"/>
    <w:rsid w:val="1D4E0DE6"/>
    <w:rsid w:val="1D5F3C1E"/>
    <w:rsid w:val="1D786CA0"/>
    <w:rsid w:val="1DAC49BC"/>
    <w:rsid w:val="1DDC7709"/>
    <w:rsid w:val="1E890F8D"/>
    <w:rsid w:val="1E913FE6"/>
    <w:rsid w:val="1E9255CB"/>
    <w:rsid w:val="1E9A407E"/>
    <w:rsid w:val="1ECD0317"/>
    <w:rsid w:val="1ED32220"/>
    <w:rsid w:val="1ED744A9"/>
    <w:rsid w:val="1EEA1E45"/>
    <w:rsid w:val="1EF27252"/>
    <w:rsid w:val="1EF8454C"/>
    <w:rsid w:val="1EFA7EE1"/>
    <w:rsid w:val="1F0868CC"/>
    <w:rsid w:val="1F1402D1"/>
    <w:rsid w:val="1F303599"/>
    <w:rsid w:val="1F31003B"/>
    <w:rsid w:val="1F32077B"/>
    <w:rsid w:val="1F6B3A24"/>
    <w:rsid w:val="1F713F17"/>
    <w:rsid w:val="1F803199"/>
    <w:rsid w:val="1FBF7ED9"/>
    <w:rsid w:val="1FCB49B6"/>
    <w:rsid w:val="1FE065D0"/>
    <w:rsid w:val="1FE458E0"/>
    <w:rsid w:val="1FEC2E86"/>
    <w:rsid w:val="2025634A"/>
    <w:rsid w:val="20273EC1"/>
    <w:rsid w:val="202A6055"/>
    <w:rsid w:val="20323461"/>
    <w:rsid w:val="203E1579"/>
    <w:rsid w:val="20486C30"/>
    <w:rsid w:val="20600576"/>
    <w:rsid w:val="20664BB5"/>
    <w:rsid w:val="206E7A43"/>
    <w:rsid w:val="209F126A"/>
    <w:rsid w:val="20AD21CE"/>
    <w:rsid w:val="20DA5585"/>
    <w:rsid w:val="20DC4847"/>
    <w:rsid w:val="20E83E89"/>
    <w:rsid w:val="20F14799"/>
    <w:rsid w:val="20FC2B2A"/>
    <w:rsid w:val="211762CF"/>
    <w:rsid w:val="21330A85"/>
    <w:rsid w:val="213972AA"/>
    <w:rsid w:val="213C7197"/>
    <w:rsid w:val="21486D50"/>
    <w:rsid w:val="214F5755"/>
    <w:rsid w:val="21510035"/>
    <w:rsid w:val="21556A3C"/>
    <w:rsid w:val="217B257A"/>
    <w:rsid w:val="21A041E8"/>
    <w:rsid w:val="21A118A7"/>
    <w:rsid w:val="21A835A0"/>
    <w:rsid w:val="21AF16D4"/>
    <w:rsid w:val="21B1733E"/>
    <w:rsid w:val="21B6696E"/>
    <w:rsid w:val="21B76AE0"/>
    <w:rsid w:val="21BA5653"/>
    <w:rsid w:val="21C4473A"/>
    <w:rsid w:val="21C71C6C"/>
    <w:rsid w:val="21F51F69"/>
    <w:rsid w:val="220474DB"/>
    <w:rsid w:val="22112672"/>
    <w:rsid w:val="221A5E06"/>
    <w:rsid w:val="22274AE6"/>
    <w:rsid w:val="222A579A"/>
    <w:rsid w:val="224131C1"/>
    <w:rsid w:val="225C6182"/>
    <w:rsid w:val="226804C4"/>
    <w:rsid w:val="22B456FE"/>
    <w:rsid w:val="22EB050E"/>
    <w:rsid w:val="22EE7297"/>
    <w:rsid w:val="22FD69AE"/>
    <w:rsid w:val="230B5C6A"/>
    <w:rsid w:val="23102595"/>
    <w:rsid w:val="23543698"/>
    <w:rsid w:val="235532CB"/>
    <w:rsid w:val="2358620C"/>
    <w:rsid w:val="2378316C"/>
    <w:rsid w:val="237D4B3E"/>
    <w:rsid w:val="23A27905"/>
    <w:rsid w:val="23AB02F8"/>
    <w:rsid w:val="23B665A6"/>
    <w:rsid w:val="23E1725C"/>
    <w:rsid w:val="23E3036F"/>
    <w:rsid w:val="24222D39"/>
    <w:rsid w:val="242E2CD0"/>
    <w:rsid w:val="24315EF0"/>
    <w:rsid w:val="24323971"/>
    <w:rsid w:val="24387A79"/>
    <w:rsid w:val="243B09FD"/>
    <w:rsid w:val="244A5795"/>
    <w:rsid w:val="24726959"/>
    <w:rsid w:val="24770AA7"/>
    <w:rsid w:val="24805C6F"/>
    <w:rsid w:val="248C0279"/>
    <w:rsid w:val="249C66CB"/>
    <w:rsid w:val="24A835B0"/>
    <w:rsid w:val="24B23EBF"/>
    <w:rsid w:val="24CF5058"/>
    <w:rsid w:val="24F02BBA"/>
    <w:rsid w:val="24F02CB3"/>
    <w:rsid w:val="25036248"/>
    <w:rsid w:val="253731E2"/>
    <w:rsid w:val="253A3D11"/>
    <w:rsid w:val="254F08C6"/>
    <w:rsid w:val="255C4358"/>
    <w:rsid w:val="25614063"/>
    <w:rsid w:val="256B2E48"/>
    <w:rsid w:val="25760785"/>
    <w:rsid w:val="259733DB"/>
    <w:rsid w:val="259F0F36"/>
    <w:rsid w:val="25A634D3"/>
    <w:rsid w:val="25A733DE"/>
    <w:rsid w:val="25BF7538"/>
    <w:rsid w:val="25D3279D"/>
    <w:rsid w:val="25E25F7B"/>
    <w:rsid w:val="25FA3B44"/>
    <w:rsid w:val="26014383"/>
    <w:rsid w:val="26025AC5"/>
    <w:rsid w:val="260B6A7A"/>
    <w:rsid w:val="26117D22"/>
    <w:rsid w:val="2637753E"/>
    <w:rsid w:val="264E29E7"/>
    <w:rsid w:val="265817DB"/>
    <w:rsid w:val="26685E4E"/>
    <w:rsid w:val="266D09DC"/>
    <w:rsid w:val="266F2F1B"/>
    <w:rsid w:val="26710598"/>
    <w:rsid w:val="26A3466F"/>
    <w:rsid w:val="26A420F1"/>
    <w:rsid w:val="26D50A2C"/>
    <w:rsid w:val="26D53005"/>
    <w:rsid w:val="26D94B49"/>
    <w:rsid w:val="27042C3A"/>
    <w:rsid w:val="272E2055"/>
    <w:rsid w:val="276C1AFB"/>
    <w:rsid w:val="27CE415D"/>
    <w:rsid w:val="27EB20ED"/>
    <w:rsid w:val="28090ABE"/>
    <w:rsid w:val="280B4ED3"/>
    <w:rsid w:val="282006E4"/>
    <w:rsid w:val="28295770"/>
    <w:rsid w:val="283F7913"/>
    <w:rsid w:val="286F3CE6"/>
    <w:rsid w:val="28A4093D"/>
    <w:rsid w:val="28C65A54"/>
    <w:rsid w:val="28F57152"/>
    <w:rsid w:val="290A60E3"/>
    <w:rsid w:val="29156672"/>
    <w:rsid w:val="2925470E"/>
    <w:rsid w:val="29925D2E"/>
    <w:rsid w:val="29AA010A"/>
    <w:rsid w:val="29BD1409"/>
    <w:rsid w:val="29EA70FD"/>
    <w:rsid w:val="29FA68D1"/>
    <w:rsid w:val="2A1B7225"/>
    <w:rsid w:val="2A5218FD"/>
    <w:rsid w:val="2A827ECE"/>
    <w:rsid w:val="2A8E045D"/>
    <w:rsid w:val="2AEB718E"/>
    <w:rsid w:val="2B15743C"/>
    <w:rsid w:val="2B162C13"/>
    <w:rsid w:val="2B172940"/>
    <w:rsid w:val="2B20324F"/>
    <w:rsid w:val="2B347CF1"/>
    <w:rsid w:val="2B511820"/>
    <w:rsid w:val="2B9229E5"/>
    <w:rsid w:val="2BB327BE"/>
    <w:rsid w:val="2BD51A79"/>
    <w:rsid w:val="2C0525C8"/>
    <w:rsid w:val="2C153FA1"/>
    <w:rsid w:val="2C1A370D"/>
    <w:rsid w:val="2C3E5C25"/>
    <w:rsid w:val="2C3F7E23"/>
    <w:rsid w:val="2C71696C"/>
    <w:rsid w:val="2C856399"/>
    <w:rsid w:val="2C9C42D9"/>
    <w:rsid w:val="2CB35BE4"/>
    <w:rsid w:val="2CC04EFA"/>
    <w:rsid w:val="2CEB15C1"/>
    <w:rsid w:val="2CEC353A"/>
    <w:rsid w:val="2CF156C9"/>
    <w:rsid w:val="2D2F06CE"/>
    <w:rsid w:val="2D312F7F"/>
    <w:rsid w:val="2D4C0361"/>
    <w:rsid w:val="2D855F3C"/>
    <w:rsid w:val="2D884FED"/>
    <w:rsid w:val="2D9716DA"/>
    <w:rsid w:val="2DA11FE9"/>
    <w:rsid w:val="2DB5450D"/>
    <w:rsid w:val="2DB84437"/>
    <w:rsid w:val="2DFE2383"/>
    <w:rsid w:val="2E001109"/>
    <w:rsid w:val="2E194231"/>
    <w:rsid w:val="2E3458E0"/>
    <w:rsid w:val="2E735BC5"/>
    <w:rsid w:val="2E934898"/>
    <w:rsid w:val="2ED90459"/>
    <w:rsid w:val="2EE4137C"/>
    <w:rsid w:val="2EF80290"/>
    <w:rsid w:val="2F0A15BB"/>
    <w:rsid w:val="2F280B6B"/>
    <w:rsid w:val="2F4224DA"/>
    <w:rsid w:val="2F552934"/>
    <w:rsid w:val="2F760EDC"/>
    <w:rsid w:val="2F762BCF"/>
    <w:rsid w:val="2F793DEE"/>
    <w:rsid w:val="2FCF028E"/>
    <w:rsid w:val="2FF31539"/>
    <w:rsid w:val="301C747B"/>
    <w:rsid w:val="303F6316"/>
    <w:rsid w:val="30785015"/>
    <w:rsid w:val="309D1377"/>
    <w:rsid w:val="30A04ED5"/>
    <w:rsid w:val="30A72E79"/>
    <w:rsid w:val="30C920B8"/>
    <w:rsid w:val="30D5792D"/>
    <w:rsid w:val="30DD4D3A"/>
    <w:rsid w:val="30E965CE"/>
    <w:rsid w:val="30F36EDD"/>
    <w:rsid w:val="30F4495F"/>
    <w:rsid w:val="31182819"/>
    <w:rsid w:val="31586882"/>
    <w:rsid w:val="315A7B86"/>
    <w:rsid w:val="315F1A90"/>
    <w:rsid w:val="31696F75"/>
    <w:rsid w:val="31726B52"/>
    <w:rsid w:val="317D0C18"/>
    <w:rsid w:val="31A96174"/>
    <w:rsid w:val="31C13E8E"/>
    <w:rsid w:val="31D10ACA"/>
    <w:rsid w:val="31E806EF"/>
    <w:rsid w:val="31F73CFB"/>
    <w:rsid w:val="31F80989"/>
    <w:rsid w:val="321255EA"/>
    <w:rsid w:val="32251F8D"/>
    <w:rsid w:val="32395E90"/>
    <w:rsid w:val="323D5BFB"/>
    <w:rsid w:val="323E2624"/>
    <w:rsid w:val="3266104E"/>
    <w:rsid w:val="32792BB7"/>
    <w:rsid w:val="328153EA"/>
    <w:rsid w:val="32902DEB"/>
    <w:rsid w:val="329A7A4B"/>
    <w:rsid w:val="32F020EB"/>
    <w:rsid w:val="32FD27B6"/>
    <w:rsid w:val="3300373A"/>
    <w:rsid w:val="33026C3D"/>
    <w:rsid w:val="334B2535"/>
    <w:rsid w:val="3356713D"/>
    <w:rsid w:val="3374781D"/>
    <w:rsid w:val="33BB3E6D"/>
    <w:rsid w:val="33C4477D"/>
    <w:rsid w:val="33D577B5"/>
    <w:rsid w:val="33DF4AD8"/>
    <w:rsid w:val="33F85ED1"/>
    <w:rsid w:val="33FA4C57"/>
    <w:rsid w:val="34022063"/>
    <w:rsid w:val="34034262"/>
    <w:rsid w:val="340D0031"/>
    <w:rsid w:val="344227AB"/>
    <w:rsid w:val="345A6862"/>
    <w:rsid w:val="34712317"/>
    <w:rsid w:val="34731BD0"/>
    <w:rsid w:val="348F514A"/>
    <w:rsid w:val="34A93893"/>
    <w:rsid w:val="34B42848"/>
    <w:rsid w:val="34B85B7E"/>
    <w:rsid w:val="34C40D2A"/>
    <w:rsid w:val="34D512D9"/>
    <w:rsid w:val="34D54F15"/>
    <w:rsid w:val="352743C4"/>
    <w:rsid w:val="353E1E0E"/>
    <w:rsid w:val="354D225A"/>
    <w:rsid w:val="355D3219"/>
    <w:rsid w:val="355F746B"/>
    <w:rsid w:val="3565215B"/>
    <w:rsid w:val="357A6B39"/>
    <w:rsid w:val="358B24AC"/>
    <w:rsid w:val="358F2AEF"/>
    <w:rsid w:val="35923A74"/>
    <w:rsid w:val="35B237C1"/>
    <w:rsid w:val="35B54FC1"/>
    <w:rsid w:val="35B567A6"/>
    <w:rsid w:val="35B873B1"/>
    <w:rsid w:val="35C74E47"/>
    <w:rsid w:val="3618394C"/>
    <w:rsid w:val="361D6B92"/>
    <w:rsid w:val="362E5AF0"/>
    <w:rsid w:val="36314876"/>
    <w:rsid w:val="36374201"/>
    <w:rsid w:val="364C2EB6"/>
    <w:rsid w:val="3655146D"/>
    <w:rsid w:val="365E1EC3"/>
    <w:rsid w:val="36665823"/>
    <w:rsid w:val="36794C6B"/>
    <w:rsid w:val="36852913"/>
    <w:rsid w:val="369A64A4"/>
    <w:rsid w:val="36C61AF7"/>
    <w:rsid w:val="36F12D78"/>
    <w:rsid w:val="36F57E63"/>
    <w:rsid w:val="3702714D"/>
    <w:rsid w:val="371A47F4"/>
    <w:rsid w:val="37342E1F"/>
    <w:rsid w:val="37467121"/>
    <w:rsid w:val="374E39C9"/>
    <w:rsid w:val="376F7781"/>
    <w:rsid w:val="377D6A97"/>
    <w:rsid w:val="37915A3E"/>
    <w:rsid w:val="37972EC4"/>
    <w:rsid w:val="379B18CA"/>
    <w:rsid w:val="379C1491"/>
    <w:rsid w:val="379F02D0"/>
    <w:rsid w:val="37A2030E"/>
    <w:rsid w:val="37A46956"/>
    <w:rsid w:val="37A54048"/>
    <w:rsid w:val="37B05FEC"/>
    <w:rsid w:val="37B67AC1"/>
    <w:rsid w:val="37F66761"/>
    <w:rsid w:val="37FC2346"/>
    <w:rsid w:val="380A1B7E"/>
    <w:rsid w:val="38146BAA"/>
    <w:rsid w:val="383329B2"/>
    <w:rsid w:val="38371749"/>
    <w:rsid w:val="38662298"/>
    <w:rsid w:val="38A442FB"/>
    <w:rsid w:val="38C67D33"/>
    <w:rsid w:val="38CB386D"/>
    <w:rsid w:val="38CD2F41"/>
    <w:rsid w:val="38D146E8"/>
    <w:rsid w:val="39003390"/>
    <w:rsid w:val="39064955"/>
    <w:rsid w:val="392E645D"/>
    <w:rsid w:val="3935166B"/>
    <w:rsid w:val="39456083"/>
    <w:rsid w:val="395A05A6"/>
    <w:rsid w:val="39725C4D"/>
    <w:rsid w:val="398175E3"/>
    <w:rsid w:val="39954F08"/>
    <w:rsid w:val="39957106"/>
    <w:rsid w:val="399C2A77"/>
    <w:rsid w:val="39B20C35"/>
    <w:rsid w:val="39B70940"/>
    <w:rsid w:val="39ED44B5"/>
    <w:rsid w:val="39F21A1E"/>
    <w:rsid w:val="39FE3458"/>
    <w:rsid w:val="39FF0D34"/>
    <w:rsid w:val="3A217C55"/>
    <w:rsid w:val="3A2F1883"/>
    <w:rsid w:val="3A4D2B2F"/>
    <w:rsid w:val="3A8E6D2A"/>
    <w:rsid w:val="3A976FE1"/>
    <w:rsid w:val="3AE150D1"/>
    <w:rsid w:val="3AED5139"/>
    <w:rsid w:val="3AF90F4C"/>
    <w:rsid w:val="3B26507B"/>
    <w:rsid w:val="3B296135"/>
    <w:rsid w:val="3B30272B"/>
    <w:rsid w:val="3B341131"/>
    <w:rsid w:val="3B54008A"/>
    <w:rsid w:val="3B605478"/>
    <w:rsid w:val="3B702D5E"/>
    <w:rsid w:val="3B824823"/>
    <w:rsid w:val="3B8B1B40"/>
    <w:rsid w:val="3B9024B4"/>
    <w:rsid w:val="3BB44F02"/>
    <w:rsid w:val="3BB75E87"/>
    <w:rsid w:val="3BD94DA7"/>
    <w:rsid w:val="3BDB6AF8"/>
    <w:rsid w:val="3BF24696"/>
    <w:rsid w:val="3C077299"/>
    <w:rsid w:val="3C5E1B18"/>
    <w:rsid w:val="3C6B33AC"/>
    <w:rsid w:val="3CBF66BA"/>
    <w:rsid w:val="3CC505C3"/>
    <w:rsid w:val="3CCB4B07"/>
    <w:rsid w:val="3CF31043"/>
    <w:rsid w:val="3D045D81"/>
    <w:rsid w:val="3D047634"/>
    <w:rsid w:val="3D0955CD"/>
    <w:rsid w:val="3D66234A"/>
    <w:rsid w:val="3D7A7333"/>
    <w:rsid w:val="3D8B16BA"/>
    <w:rsid w:val="3D8F350F"/>
    <w:rsid w:val="3DA42D80"/>
    <w:rsid w:val="3DAB75BC"/>
    <w:rsid w:val="3DAC4E68"/>
    <w:rsid w:val="3DB21145"/>
    <w:rsid w:val="3DC4025D"/>
    <w:rsid w:val="3DD3111B"/>
    <w:rsid w:val="3DE35197"/>
    <w:rsid w:val="3E243A02"/>
    <w:rsid w:val="3E286B85"/>
    <w:rsid w:val="3E5F4689"/>
    <w:rsid w:val="3E7C4091"/>
    <w:rsid w:val="3E7E5396"/>
    <w:rsid w:val="3E9349C6"/>
    <w:rsid w:val="3EC724A8"/>
    <w:rsid w:val="3EE12FE6"/>
    <w:rsid w:val="3EE3303B"/>
    <w:rsid w:val="3EE3796E"/>
    <w:rsid w:val="3F3570C3"/>
    <w:rsid w:val="3F492FB3"/>
    <w:rsid w:val="3F58480B"/>
    <w:rsid w:val="3F651E10"/>
    <w:rsid w:val="3F6C7E79"/>
    <w:rsid w:val="3F884A5E"/>
    <w:rsid w:val="3F9625DF"/>
    <w:rsid w:val="3F965E62"/>
    <w:rsid w:val="3FBE7F20"/>
    <w:rsid w:val="3FC12F51"/>
    <w:rsid w:val="3FC6532D"/>
    <w:rsid w:val="3FCD4CB7"/>
    <w:rsid w:val="400E6DA6"/>
    <w:rsid w:val="401E08B7"/>
    <w:rsid w:val="403B0B6F"/>
    <w:rsid w:val="404104F9"/>
    <w:rsid w:val="40510322"/>
    <w:rsid w:val="40520794"/>
    <w:rsid w:val="40585F20"/>
    <w:rsid w:val="405B6EA5"/>
    <w:rsid w:val="406F22C2"/>
    <w:rsid w:val="407F5DE0"/>
    <w:rsid w:val="40946A23"/>
    <w:rsid w:val="409D5390"/>
    <w:rsid w:val="40A53650"/>
    <w:rsid w:val="40BE1148"/>
    <w:rsid w:val="412672A9"/>
    <w:rsid w:val="4137558E"/>
    <w:rsid w:val="41600151"/>
    <w:rsid w:val="41603818"/>
    <w:rsid w:val="417C189E"/>
    <w:rsid w:val="41845977"/>
    <w:rsid w:val="418E5F9D"/>
    <w:rsid w:val="41A710C5"/>
    <w:rsid w:val="41B53228"/>
    <w:rsid w:val="41C60DB3"/>
    <w:rsid w:val="41CE5702"/>
    <w:rsid w:val="41DB2819"/>
    <w:rsid w:val="41E1306F"/>
    <w:rsid w:val="41F33743"/>
    <w:rsid w:val="42212F8E"/>
    <w:rsid w:val="422501CE"/>
    <w:rsid w:val="42325426"/>
    <w:rsid w:val="42470412"/>
    <w:rsid w:val="427B248A"/>
    <w:rsid w:val="42864EB0"/>
    <w:rsid w:val="428B1338"/>
    <w:rsid w:val="42A81C3F"/>
    <w:rsid w:val="42A81EAB"/>
    <w:rsid w:val="42C50429"/>
    <w:rsid w:val="42E5654F"/>
    <w:rsid w:val="42E62A04"/>
    <w:rsid w:val="42EC395B"/>
    <w:rsid w:val="42F3528E"/>
    <w:rsid w:val="430A058D"/>
    <w:rsid w:val="430D4764"/>
    <w:rsid w:val="431C0C27"/>
    <w:rsid w:val="432263B4"/>
    <w:rsid w:val="43254DBA"/>
    <w:rsid w:val="436A67A8"/>
    <w:rsid w:val="439353EE"/>
    <w:rsid w:val="43993D8E"/>
    <w:rsid w:val="43A01007"/>
    <w:rsid w:val="43BF5EB2"/>
    <w:rsid w:val="43E56B7B"/>
    <w:rsid w:val="442941EF"/>
    <w:rsid w:val="44495E16"/>
    <w:rsid w:val="44626E27"/>
    <w:rsid w:val="44711559"/>
    <w:rsid w:val="4488337C"/>
    <w:rsid w:val="449700C1"/>
    <w:rsid w:val="44BF3856"/>
    <w:rsid w:val="44C04B5B"/>
    <w:rsid w:val="44CF3033"/>
    <w:rsid w:val="44DF4AD3"/>
    <w:rsid w:val="45001DE3"/>
    <w:rsid w:val="453C1F26"/>
    <w:rsid w:val="4556724D"/>
    <w:rsid w:val="45582750"/>
    <w:rsid w:val="45643FA0"/>
    <w:rsid w:val="456A1771"/>
    <w:rsid w:val="456D6721"/>
    <w:rsid w:val="457A3F89"/>
    <w:rsid w:val="45806EC3"/>
    <w:rsid w:val="458A5B63"/>
    <w:rsid w:val="458B5528"/>
    <w:rsid w:val="45C1217F"/>
    <w:rsid w:val="45F12DD4"/>
    <w:rsid w:val="46117980"/>
    <w:rsid w:val="46126F72"/>
    <w:rsid w:val="461B5D11"/>
    <w:rsid w:val="46477E5A"/>
    <w:rsid w:val="46686C9E"/>
    <w:rsid w:val="468653C0"/>
    <w:rsid w:val="469E62EA"/>
    <w:rsid w:val="46C50728"/>
    <w:rsid w:val="46CC2197"/>
    <w:rsid w:val="47341CB9"/>
    <w:rsid w:val="473964E9"/>
    <w:rsid w:val="4756134E"/>
    <w:rsid w:val="47596A1D"/>
    <w:rsid w:val="476B0A7D"/>
    <w:rsid w:val="476C4C8D"/>
    <w:rsid w:val="47753FAC"/>
    <w:rsid w:val="478F75F0"/>
    <w:rsid w:val="47AC41EF"/>
    <w:rsid w:val="47CA5A26"/>
    <w:rsid w:val="47D1242C"/>
    <w:rsid w:val="48066B36"/>
    <w:rsid w:val="480F42B6"/>
    <w:rsid w:val="483713AF"/>
    <w:rsid w:val="48403498"/>
    <w:rsid w:val="48570EBF"/>
    <w:rsid w:val="487758BD"/>
    <w:rsid w:val="488E5A9B"/>
    <w:rsid w:val="48AF1F07"/>
    <w:rsid w:val="48B06FCF"/>
    <w:rsid w:val="48B225B7"/>
    <w:rsid w:val="48B64E60"/>
    <w:rsid w:val="48B956E0"/>
    <w:rsid w:val="48ED1F47"/>
    <w:rsid w:val="48F12CEE"/>
    <w:rsid w:val="490B6821"/>
    <w:rsid w:val="492F01E9"/>
    <w:rsid w:val="4937272B"/>
    <w:rsid w:val="4938000E"/>
    <w:rsid w:val="4942653E"/>
    <w:rsid w:val="4943682E"/>
    <w:rsid w:val="49593EE0"/>
    <w:rsid w:val="498558F4"/>
    <w:rsid w:val="49901EC0"/>
    <w:rsid w:val="499424C3"/>
    <w:rsid w:val="49AD4246"/>
    <w:rsid w:val="49B123F5"/>
    <w:rsid w:val="49F153DD"/>
    <w:rsid w:val="4A205F2C"/>
    <w:rsid w:val="4A4E0260"/>
    <w:rsid w:val="4A523E05"/>
    <w:rsid w:val="4A566406"/>
    <w:rsid w:val="4A603492"/>
    <w:rsid w:val="4A610F14"/>
    <w:rsid w:val="4A6F7A71"/>
    <w:rsid w:val="4A896855"/>
    <w:rsid w:val="4AB467A0"/>
    <w:rsid w:val="4ABC3BAC"/>
    <w:rsid w:val="4ACC6911"/>
    <w:rsid w:val="4AD01761"/>
    <w:rsid w:val="4AFA4A98"/>
    <w:rsid w:val="4B2D6C09"/>
    <w:rsid w:val="4B4016F3"/>
    <w:rsid w:val="4B453C14"/>
    <w:rsid w:val="4B727B1B"/>
    <w:rsid w:val="4B8E3F04"/>
    <w:rsid w:val="4BB46FD1"/>
    <w:rsid w:val="4BB54D88"/>
    <w:rsid w:val="4BBE1169"/>
    <w:rsid w:val="4BC84FE3"/>
    <w:rsid w:val="4BEB429E"/>
    <w:rsid w:val="4BF54FEA"/>
    <w:rsid w:val="4C0B1225"/>
    <w:rsid w:val="4C750F78"/>
    <w:rsid w:val="4C86669B"/>
    <w:rsid w:val="4C8E5CA5"/>
    <w:rsid w:val="4C913227"/>
    <w:rsid w:val="4CB6277A"/>
    <w:rsid w:val="4CD242DE"/>
    <w:rsid w:val="4CDC1628"/>
    <w:rsid w:val="4CEB0D0D"/>
    <w:rsid w:val="4D121D34"/>
    <w:rsid w:val="4D517068"/>
    <w:rsid w:val="4D5C75F7"/>
    <w:rsid w:val="4D687E87"/>
    <w:rsid w:val="4D7A3398"/>
    <w:rsid w:val="4DA229C6"/>
    <w:rsid w:val="4DFA3FFE"/>
    <w:rsid w:val="4E000105"/>
    <w:rsid w:val="4E0C091B"/>
    <w:rsid w:val="4E0F196E"/>
    <w:rsid w:val="4E1A0CAF"/>
    <w:rsid w:val="4E5B34CB"/>
    <w:rsid w:val="4E897B66"/>
    <w:rsid w:val="4E8C356D"/>
    <w:rsid w:val="4E8D5D4D"/>
    <w:rsid w:val="4E9D1289"/>
    <w:rsid w:val="4EA67FE8"/>
    <w:rsid w:val="4EE5340E"/>
    <w:rsid w:val="4EE53BFB"/>
    <w:rsid w:val="4EEF51A5"/>
    <w:rsid w:val="4EF33F37"/>
    <w:rsid w:val="4F0B1E41"/>
    <w:rsid w:val="4F1254C3"/>
    <w:rsid w:val="4F29663B"/>
    <w:rsid w:val="4F2F631B"/>
    <w:rsid w:val="4F3C0010"/>
    <w:rsid w:val="4F4A0C44"/>
    <w:rsid w:val="4F4F517C"/>
    <w:rsid w:val="4F687927"/>
    <w:rsid w:val="4F706F0D"/>
    <w:rsid w:val="4F932A9A"/>
    <w:rsid w:val="4F9C5F67"/>
    <w:rsid w:val="4FA30B36"/>
    <w:rsid w:val="50074FD7"/>
    <w:rsid w:val="501D29FE"/>
    <w:rsid w:val="50241974"/>
    <w:rsid w:val="50342624"/>
    <w:rsid w:val="50537655"/>
    <w:rsid w:val="50617C70"/>
    <w:rsid w:val="506E5C81"/>
    <w:rsid w:val="50847496"/>
    <w:rsid w:val="508D0734"/>
    <w:rsid w:val="508F4388"/>
    <w:rsid w:val="5096699C"/>
    <w:rsid w:val="509748C6"/>
    <w:rsid w:val="50B8067E"/>
    <w:rsid w:val="50CA639A"/>
    <w:rsid w:val="50CE6F9F"/>
    <w:rsid w:val="50D519AD"/>
    <w:rsid w:val="50F63EA8"/>
    <w:rsid w:val="50F75A6D"/>
    <w:rsid w:val="50FD47C4"/>
    <w:rsid w:val="51160FE7"/>
    <w:rsid w:val="51191C31"/>
    <w:rsid w:val="511F5AA4"/>
    <w:rsid w:val="513671C8"/>
    <w:rsid w:val="513A7DC3"/>
    <w:rsid w:val="514968E8"/>
    <w:rsid w:val="516B0122"/>
    <w:rsid w:val="5173552E"/>
    <w:rsid w:val="51774DB4"/>
    <w:rsid w:val="517A638F"/>
    <w:rsid w:val="517D50F1"/>
    <w:rsid w:val="518122C6"/>
    <w:rsid w:val="51A31430"/>
    <w:rsid w:val="51B30CB0"/>
    <w:rsid w:val="51BA56A1"/>
    <w:rsid w:val="51D51D50"/>
    <w:rsid w:val="51E51FEA"/>
    <w:rsid w:val="51EA4273"/>
    <w:rsid w:val="51F73589"/>
    <w:rsid w:val="52121BB5"/>
    <w:rsid w:val="521572B6"/>
    <w:rsid w:val="5217016B"/>
    <w:rsid w:val="522378D0"/>
    <w:rsid w:val="522A2305"/>
    <w:rsid w:val="52324668"/>
    <w:rsid w:val="523873B8"/>
    <w:rsid w:val="5254009F"/>
    <w:rsid w:val="525E29B5"/>
    <w:rsid w:val="52717D1C"/>
    <w:rsid w:val="528A181C"/>
    <w:rsid w:val="52C743C3"/>
    <w:rsid w:val="52CD3145"/>
    <w:rsid w:val="52D32236"/>
    <w:rsid w:val="52EF249C"/>
    <w:rsid w:val="52FF50A3"/>
    <w:rsid w:val="531E1B16"/>
    <w:rsid w:val="535321C1"/>
    <w:rsid w:val="535B7AFB"/>
    <w:rsid w:val="53722A75"/>
    <w:rsid w:val="53874F99"/>
    <w:rsid w:val="53A15E6B"/>
    <w:rsid w:val="53C23AF9"/>
    <w:rsid w:val="53D67AD3"/>
    <w:rsid w:val="53F961D2"/>
    <w:rsid w:val="54124B7D"/>
    <w:rsid w:val="542A2224"/>
    <w:rsid w:val="54322216"/>
    <w:rsid w:val="54330EA2"/>
    <w:rsid w:val="544A7794"/>
    <w:rsid w:val="544F0576"/>
    <w:rsid w:val="54501BBD"/>
    <w:rsid w:val="545F13F9"/>
    <w:rsid w:val="54766E20"/>
    <w:rsid w:val="547748A2"/>
    <w:rsid w:val="54945582"/>
    <w:rsid w:val="549A5874"/>
    <w:rsid w:val="54C12E33"/>
    <w:rsid w:val="54C77B24"/>
    <w:rsid w:val="54C923B1"/>
    <w:rsid w:val="54D21738"/>
    <w:rsid w:val="551054EB"/>
    <w:rsid w:val="5526593F"/>
    <w:rsid w:val="552F4050"/>
    <w:rsid w:val="553C3366"/>
    <w:rsid w:val="55785749"/>
    <w:rsid w:val="557A6439"/>
    <w:rsid w:val="558A5663"/>
    <w:rsid w:val="55933D75"/>
    <w:rsid w:val="559B138A"/>
    <w:rsid w:val="55E404D5"/>
    <w:rsid w:val="55F31810"/>
    <w:rsid w:val="560A4E69"/>
    <w:rsid w:val="56114643"/>
    <w:rsid w:val="56132672"/>
    <w:rsid w:val="564E44A8"/>
    <w:rsid w:val="56715961"/>
    <w:rsid w:val="569B0ED4"/>
    <w:rsid w:val="56B62BD2"/>
    <w:rsid w:val="56B6720F"/>
    <w:rsid w:val="56BE5A60"/>
    <w:rsid w:val="56CE33F3"/>
    <w:rsid w:val="56E865F9"/>
    <w:rsid w:val="573B34DC"/>
    <w:rsid w:val="57401510"/>
    <w:rsid w:val="57420238"/>
    <w:rsid w:val="574868BE"/>
    <w:rsid w:val="575514CD"/>
    <w:rsid w:val="57566604"/>
    <w:rsid w:val="57577640"/>
    <w:rsid w:val="575A1224"/>
    <w:rsid w:val="57851F1D"/>
    <w:rsid w:val="57F21DC7"/>
    <w:rsid w:val="57F26D57"/>
    <w:rsid w:val="58036524"/>
    <w:rsid w:val="582C109C"/>
    <w:rsid w:val="583C0450"/>
    <w:rsid w:val="586E14BF"/>
    <w:rsid w:val="587518AF"/>
    <w:rsid w:val="58753AAD"/>
    <w:rsid w:val="588F186B"/>
    <w:rsid w:val="58AD748A"/>
    <w:rsid w:val="58AD7D6B"/>
    <w:rsid w:val="58B96B20"/>
    <w:rsid w:val="58C75E36"/>
    <w:rsid w:val="58CC6614"/>
    <w:rsid w:val="58CE79BF"/>
    <w:rsid w:val="58FC2A8C"/>
    <w:rsid w:val="591539B6"/>
    <w:rsid w:val="593D0A8E"/>
    <w:rsid w:val="595B14B9"/>
    <w:rsid w:val="59812B44"/>
    <w:rsid w:val="598E457A"/>
    <w:rsid w:val="599F5B19"/>
    <w:rsid w:val="59A87627"/>
    <w:rsid w:val="59BB1BC6"/>
    <w:rsid w:val="5A2A144C"/>
    <w:rsid w:val="5A4A272E"/>
    <w:rsid w:val="5A687BD7"/>
    <w:rsid w:val="5ABC3E58"/>
    <w:rsid w:val="5ACF2987"/>
    <w:rsid w:val="5AE625AD"/>
    <w:rsid w:val="5B0950EB"/>
    <w:rsid w:val="5B397E38"/>
    <w:rsid w:val="5B4F1FDC"/>
    <w:rsid w:val="5B6F279D"/>
    <w:rsid w:val="5BD60FBC"/>
    <w:rsid w:val="5BEC78DC"/>
    <w:rsid w:val="5C0813BB"/>
    <w:rsid w:val="5C1839E9"/>
    <w:rsid w:val="5C2432B9"/>
    <w:rsid w:val="5C2C594B"/>
    <w:rsid w:val="5C583A84"/>
    <w:rsid w:val="5C603B63"/>
    <w:rsid w:val="5C6D49B2"/>
    <w:rsid w:val="5CC93A47"/>
    <w:rsid w:val="5CE31FB3"/>
    <w:rsid w:val="5CF94596"/>
    <w:rsid w:val="5CFC551B"/>
    <w:rsid w:val="5D032927"/>
    <w:rsid w:val="5D080ACC"/>
    <w:rsid w:val="5D25037A"/>
    <w:rsid w:val="5D702D81"/>
    <w:rsid w:val="5D8F6F3F"/>
    <w:rsid w:val="5DCD7DF2"/>
    <w:rsid w:val="5DD94F09"/>
    <w:rsid w:val="5DF16D2C"/>
    <w:rsid w:val="5DF81F3B"/>
    <w:rsid w:val="5E0A56D8"/>
    <w:rsid w:val="5E4C6141"/>
    <w:rsid w:val="5E5830B6"/>
    <w:rsid w:val="5E79378D"/>
    <w:rsid w:val="5E9033B3"/>
    <w:rsid w:val="5EB23621"/>
    <w:rsid w:val="5ECA6000"/>
    <w:rsid w:val="5ED73B27"/>
    <w:rsid w:val="5EE15B23"/>
    <w:rsid w:val="5F102A07"/>
    <w:rsid w:val="5F1B0D98"/>
    <w:rsid w:val="5F1E1D1D"/>
    <w:rsid w:val="5F1E4324"/>
    <w:rsid w:val="5F4905E3"/>
    <w:rsid w:val="5F5C1159"/>
    <w:rsid w:val="5F8D2114"/>
    <w:rsid w:val="5F8D7DD2"/>
    <w:rsid w:val="5F93035F"/>
    <w:rsid w:val="5F946831"/>
    <w:rsid w:val="5FA34174"/>
    <w:rsid w:val="5FC03AA5"/>
    <w:rsid w:val="5FF40A7C"/>
    <w:rsid w:val="60503394"/>
    <w:rsid w:val="606737AA"/>
    <w:rsid w:val="606E2944"/>
    <w:rsid w:val="60844AE7"/>
    <w:rsid w:val="608B409E"/>
    <w:rsid w:val="60C13F33"/>
    <w:rsid w:val="60E73525"/>
    <w:rsid w:val="60F87024"/>
    <w:rsid w:val="610E4A4B"/>
    <w:rsid w:val="61161572"/>
    <w:rsid w:val="616E24E6"/>
    <w:rsid w:val="618D2D9B"/>
    <w:rsid w:val="61931421"/>
    <w:rsid w:val="61A907DA"/>
    <w:rsid w:val="61BE4069"/>
    <w:rsid w:val="61C21F70"/>
    <w:rsid w:val="61C918FB"/>
    <w:rsid w:val="61CB4DFE"/>
    <w:rsid w:val="61CB5D59"/>
    <w:rsid w:val="61FC0E51"/>
    <w:rsid w:val="61FF3FD4"/>
    <w:rsid w:val="62032AC9"/>
    <w:rsid w:val="625957CD"/>
    <w:rsid w:val="627B4ECB"/>
    <w:rsid w:val="62BC56E3"/>
    <w:rsid w:val="62C87348"/>
    <w:rsid w:val="62D452B1"/>
    <w:rsid w:val="62D63287"/>
    <w:rsid w:val="62EF34B9"/>
    <w:rsid w:val="62F95EDE"/>
    <w:rsid w:val="62FF1157"/>
    <w:rsid w:val="631A3230"/>
    <w:rsid w:val="63375355"/>
    <w:rsid w:val="634001E3"/>
    <w:rsid w:val="63415C65"/>
    <w:rsid w:val="63436BE9"/>
    <w:rsid w:val="63531402"/>
    <w:rsid w:val="638C2861"/>
    <w:rsid w:val="63AE2A15"/>
    <w:rsid w:val="63D909EC"/>
    <w:rsid w:val="63E31B13"/>
    <w:rsid w:val="63ED2F25"/>
    <w:rsid w:val="63F1289C"/>
    <w:rsid w:val="63F40F8B"/>
    <w:rsid w:val="64020214"/>
    <w:rsid w:val="644C405D"/>
    <w:rsid w:val="646C40CD"/>
    <w:rsid w:val="64B0665A"/>
    <w:rsid w:val="64B300C5"/>
    <w:rsid w:val="64D427F8"/>
    <w:rsid w:val="651C4271"/>
    <w:rsid w:val="65367019"/>
    <w:rsid w:val="658B7DA8"/>
    <w:rsid w:val="65B87C60"/>
    <w:rsid w:val="65CC54F7"/>
    <w:rsid w:val="65DA25C0"/>
    <w:rsid w:val="661D3BC6"/>
    <w:rsid w:val="66216C5D"/>
    <w:rsid w:val="6626064F"/>
    <w:rsid w:val="663549B3"/>
    <w:rsid w:val="664F4F7E"/>
    <w:rsid w:val="66735B8E"/>
    <w:rsid w:val="667E4DB2"/>
    <w:rsid w:val="66A34FF2"/>
    <w:rsid w:val="66AE6C06"/>
    <w:rsid w:val="66C37AA5"/>
    <w:rsid w:val="66D4616C"/>
    <w:rsid w:val="66F33CD3"/>
    <w:rsid w:val="67087543"/>
    <w:rsid w:val="67477A69"/>
    <w:rsid w:val="67806F5E"/>
    <w:rsid w:val="678F5EF4"/>
    <w:rsid w:val="67A42616"/>
    <w:rsid w:val="67B44AC0"/>
    <w:rsid w:val="67D5446A"/>
    <w:rsid w:val="68012776"/>
    <w:rsid w:val="68073EC9"/>
    <w:rsid w:val="684E5A85"/>
    <w:rsid w:val="684F6332"/>
    <w:rsid w:val="686D205F"/>
    <w:rsid w:val="689F04DC"/>
    <w:rsid w:val="68A128B9"/>
    <w:rsid w:val="68BB7B14"/>
    <w:rsid w:val="68E1201D"/>
    <w:rsid w:val="68F128DF"/>
    <w:rsid w:val="68FE51D1"/>
    <w:rsid w:val="693B7234"/>
    <w:rsid w:val="699A657E"/>
    <w:rsid w:val="699A724E"/>
    <w:rsid w:val="69BF3390"/>
    <w:rsid w:val="69CE2026"/>
    <w:rsid w:val="69D35E8C"/>
    <w:rsid w:val="69F875E7"/>
    <w:rsid w:val="6A03709F"/>
    <w:rsid w:val="6A4B0C16"/>
    <w:rsid w:val="6A5748C2"/>
    <w:rsid w:val="6A5C730C"/>
    <w:rsid w:val="6A921170"/>
    <w:rsid w:val="6A9E5BBC"/>
    <w:rsid w:val="6AA64288"/>
    <w:rsid w:val="6AAD28D9"/>
    <w:rsid w:val="6AB60C9F"/>
    <w:rsid w:val="6ABE192F"/>
    <w:rsid w:val="6ABE7C5E"/>
    <w:rsid w:val="6AC7223E"/>
    <w:rsid w:val="6B02197F"/>
    <w:rsid w:val="6B1A09C3"/>
    <w:rsid w:val="6B20701A"/>
    <w:rsid w:val="6B3063EA"/>
    <w:rsid w:val="6B400C03"/>
    <w:rsid w:val="6B6320BC"/>
    <w:rsid w:val="6B6B2D4C"/>
    <w:rsid w:val="6BB875C8"/>
    <w:rsid w:val="6BC85664"/>
    <w:rsid w:val="6BF35EBF"/>
    <w:rsid w:val="6BFD22BB"/>
    <w:rsid w:val="6C056409"/>
    <w:rsid w:val="6C39469E"/>
    <w:rsid w:val="6C397FC7"/>
    <w:rsid w:val="6C4504B1"/>
    <w:rsid w:val="6C693B68"/>
    <w:rsid w:val="6CD81C1E"/>
    <w:rsid w:val="6CE978CE"/>
    <w:rsid w:val="6CF62C08"/>
    <w:rsid w:val="6CF74EF3"/>
    <w:rsid w:val="6D1632C9"/>
    <w:rsid w:val="6D270AA3"/>
    <w:rsid w:val="6D561817"/>
    <w:rsid w:val="6D6C5D15"/>
    <w:rsid w:val="6D710A32"/>
    <w:rsid w:val="6D7A7229"/>
    <w:rsid w:val="6DA04EEA"/>
    <w:rsid w:val="6DA24B6A"/>
    <w:rsid w:val="6DF56B72"/>
    <w:rsid w:val="6E04544A"/>
    <w:rsid w:val="6E146A14"/>
    <w:rsid w:val="6E1C4834"/>
    <w:rsid w:val="6E232EF1"/>
    <w:rsid w:val="6E360C61"/>
    <w:rsid w:val="6E3B14E9"/>
    <w:rsid w:val="6E610B30"/>
    <w:rsid w:val="6E7716CA"/>
    <w:rsid w:val="6E82144F"/>
    <w:rsid w:val="6E8A0C0F"/>
    <w:rsid w:val="6E8C0BE2"/>
    <w:rsid w:val="6E961F7F"/>
    <w:rsid w:val="6EA43493"/>
    <w:rsid w:val="6EB26818"/>
    <w:rsid w:val="6EB46BCF"/>
    <w:rsid w:val="6EB73A9A"/>
    <w:rsid w:val="6EB766A5"/>
    <w:rsid w:val="6EC14FC1"/>
    <w:rsid w:val="6ECF37E2"/>
    <w:rsid w:val="6EDA6A7D"/>
    <w:rsid w:val="6EE75201"/>
    <w:rsid w:val="6EF51F98"/>
    <w:rsid w:val="6EFA4222"/>
    <w:rsid w:val="6F12372D"/>
    <w:rsid w:val="6F165D50"/>
    <w:rsid w:val="6F2B6BEF"/>
    <w:rsid w:val="6F5F347B"/>
    <w:rsid w:val="6F614564"/>
    <w:rsid w:val="6F7F1EFD"/>
    <w:rsid w:val="6FA21C45"/>
    <w:rsid w:val="6FBD0389"/>
    <w:rsid w:val="6FDB6D93"/>
    <w:rsid w:val="700D4FE4"/>
    <w:rsid w:val="702F1774"/>
    <w:rsid w:val="70586A83"/>
    <w:rsid w:val="706B2DFF"/>
    <w:rsid w:val="70714D08"/>
    <w:rsid w:val="709177BB"/>
    <w:rsid w:val="70921A10"/>
    <w:rsid w:val="70A759DD"/>
    <w:rsid w:val="70D04FAA"/>
    <w:rsid w:val="70E727C5"/>
    <w:rsid w:val="71085217"/>
    <w:rsid w:val="710D5413"/>
    <w:rsid w:val="712C7C8C"/>
    <w:rsid w:val="713759CB"/>
    <w:rsid w:val="713E5355"/>
    <w:rsid w:val="71487ACE"/>
    <w:rsid w:val="716952A0"/>
    <w:rsid w:val="717E19C2"/>
    <w:rsid w:val="718F5267"/>
    <w:rsid w:val="71C165F4"/>
    <w:rsid w:val="71DB6C78"/>
    <w:rsid w:val="71EE76F7"/>
    <w:rsid w:val="72127582"/>
    <w:rsid w:val="722F4B1D"/>
    <w:rsid w:val="72396872"/>
    <w:rsid w:val="72427182"/>
    <w:rsid w:val="72445F08"/>
    <w:rsid w:val="724D5513"/>
    <w:rsid w:val="72602955"/>
    <w:rsid w:val="727A40E0"/>
    <w:rsid w:val="72AB332E"/>
    <w:rsid w:val="72B21830"/>
    <w:rsid w:val="72C34258"/>
    <w:rsid w:val="73402061"/>
    <w:rsid w:val="73486686"/>
    <w:rsid w:val="736E0E6D"/>
    <w:rsid w:val="73866514"/>
    <w:rsid w:val="738E3316"/>
    <w:rsid w:val="73C2417B"/>
    <w:rsid w:val="73C62B81"/>
    <w:rsid w:val="73C66DC3"/>
    <w:rsid w:val="73D14817"/>
    <w:rsid w:val="73D24415"/>
    <w:rsid w:val="73DE2829"/>
    <w:rsid w:val="7455116B"/>
    <w:rsid w:val="745F6C7C"/>
    <w:rsid w:val="74653984"/>
    <w:rsid w:val="7490224A"/>
    <w:rsid w:val="74A55024"/>
    <w:rsid w:val="74AF2AFE"/>
    <w:rsid w:val="74D516B9"/>
    <w:rsid w:val="750072B4"/>
    <w:rsid w:val="751167ED"/>
    <w:rsid w:val="751F774B"/>
    <w:rsid w:val="758F1A77"/>
    <w:rsid w:val="759C0E0B"/>
    <w:rsid w:val="75E16A64"/>
    <w:rsid w:val="75F45394"/>
    <w:rsid w:val="75F65014"/>
    <w:rsid w:val="76016C28"/>
    <w:rsid w:val="76695353"/>
    <w:rsid w:val="766B7857"/>
    <w:rsid w:val="76732C9D"/>
    <w:rsid w:val="76921E95"/>
    <w:rsid w:val="769F2D64"/>
    <w:rsid w:val="76A46677"/>
    <w:rsid w:val="76BA05D5"/>
    <w:rsid w:val="76BF0DED"/>
    <w:rsid w:val="76D214FF"/>
    <w:rsid w:val="77131D70"/>
    <w:rsid w:val="7728018A"/>
    <w:rsid w:val="772F6015"/>
    <w:rsid w:val="7732281D"/>
    <w:rsid w:val="773A43A6"/>
    <w:rsid w:val="77480F82"/>
    <w:rsid w:val="77492442"/>
    <w:rsid w:val="777B71FD"/>
    <w:rsid w:val="777F291C"/>
    <w:rsid w:val="778D1C32"/>
    <w:rsid w:val="778F795D"/>
    <w:rsid w:val="77E34BBF"/>
    <w:rsid w:val="77E524BA"/>
    <w:rsid w:val="77F17064"/>
    <w:rsid w:val="7805161F"/>
    <w:rsid w:val="78952465"/>
    <w:rsid w:val="78A56E7C"/>
    <w:rsid w:val="78AC6806"/>
    <w:rsid w:val="78BE574D"/>
    <w:rsid w:val="78D366C6"/>
    <w:rsid w:val="78E037DD"/>
    <w:rsid w:val="78EA1B6E"/>
    <w:rsid w:val="78F114F9"/>
    <w:rsid w:val="78F61204"/>
    <w:rsid w:val="78F8668E"/>
    <w:rsid w:val="78FB1E09"/>
    <w:rsid w:val="794B1971"/>
    <w:rsid w:val="795821A2"/>
    <w:rsid w:val="7961146B"/>
    <w:rsid w:val="798B53DB"/>
    <w:rsid w:val="799D7414"/>
    <w:rsid w:val="79C23DD0"/>
    <w:rsid w:val="79C248BF"/>
    <w:rsid w:val="79E6728C"/>
    <w:rsid w:val="79EC6700"/>
    <w:rsid w:val="79EE5F19"/>
    <w:rsid w:val="79F91D2C"/>
    <w:rsid w:val="79FA77AD"/>
    <w:rsid w:val="79FB4C9D"/>
    <w:rsid w:val="79FD4ADC"/>
    <w:rsid w:val="7A442306"/>
    <w:rsid w:val="7A6359F5"/>
    <w:rsid w:val="7A83640D"/>
    <w:rsid w:val="7A941198"/>
    <w:rsid w:val="7A982B2F"/>
    <w:rsid w:val="7ACF3E92"/>
    <w:rsid w:val="7AEB1068"/>
    <w:rsid w:val="7AF00FBF"/>
    <w:rsid w:val="7AF50CCA"/>
    <w:rsid w:val="7B0D056F"/>
    <w:rsid w:val="7B222A93"/>
    <w:rsid w:val="7B315C9C"/>
    <w:rsid w:val="7B432FC7"/>
    <w:rsid w:val="7B585E3C"/>
    <w:rsid w:val="7B5B3EF1"/>
    <w:rsid w:val="7B680137"/>
    <w:rsid w:val="7B6D768F"/>
    <w:rsid w:val="7B7E06C4"/>
    <w:rsid w:val="7B9052C5"/>
    <w:rsid w:val="7BBD0713"/>
    <w:rsid w:val="7BC703CB"/>
    <w:rsid w:val="7BC86AA4"/>
    <w:rsid w:val="7BE02490"/>
    <w:rsid w:val="7BFC5DC1"/>
    <w:rsid w:val="7C012101"/>
    <w:rsid w:val="7C012DCC"/>
    <w:rsid w:val="7C140848"/>
    <w:rsid w:val="7C140FA4"/>
    <w:rsid w:val="7C207132"/>
    <w:rsid w:val="7C2524E2"/>
    <w:rsid w:val="7C4A1F7B"/>
    <w:rsid w:val="7C585A30"/>
    <w:rsid w:val="7C6159BC"/>
    <w:rsid w:val="7C7E29CD"/>
    <w:rsid w:val="7C815CBD"/>
    <w:rsid w:val="7C9877BF"/>
    <w:rsid w:val="7CB7092B"/>
    <w:rsid w:val="7CD47EDB"/>
    <w:rsid w:val="7CDA6E10"/>
    <w:rsid w:val="7CE1176F"/>
    <w:rsid w:val="7D1513DD"/>
    <w:rsid w:val="7D287965"/>
    <w:rsid w:val="7D314F01"/>
    <w:rsid w:val="7D3746FC"/>
    <w:rsid w:val="7D4F649D"/>
    <w:rsid w:val="7D551EE0"/>
    <w:rsid w:val="7D564C1D"/>
    <w:rsid w:val="7D6F00D9"/>
    <w:rsid w:val="7DAB1DF5"/>
    <w:rsid w:val="7DC616C1"/>
    <w:rsid w:val="7DD2457A"/>
    <w:rsid w:val="7DF03B2A"/>
    <w:rsid w:val="7E0E6DE1"/>
    <w:rsid w:val="7E582255"/>
    <w:rsid w:val="7E631894"/>
    <w:rsid w:val="7EA02EFE"/>
    <w:rsid w:val="7EA832D9"/>
    <w:rsid w:val="7EB738F3"/>
    <w:rsid w:val="7ED75578"/>
    <w:rsid w:val="7F0D0A7F"/>
    <w:rsid w:val="7F0F1D84"/>
    <w:rsid w:val="7F151C89"/>
    <w:rsid w:val="7F5759FB"/>
    <w:rsid w:val="7F7E58BB"/>
    <w:rsid w:val="7F7F7AB9"/>
    <w:rsid w:val="7F862CC7"/>
    <w:rsid w:val="7F934D2E"/>
    <w:rsid w:val="7FA96067"/>
    <w:rsid w:val="7FD20B78"/>
    <w:rsid w:val="7FD84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table" w:styleId="20">
    <w:name w:val="Table Grid"/>
    <w:basedOn w:val="1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basedOn w:val="21"/>
    <w:qFormat/>
    <w:uiPriority w:val="0"/>
    <w:rPr>
      <w:color w:val="800080"/>
      <w:u w:val="single"/>
    </w:rPr>
  </w:style>
  <w:style w:type="character" w:styleId="24">
    <w:name w:val="Hyperlink"/>
    <w:basedOn w:val="21"/>
    <w:qFormat/>
    <w:uiPriority w:val="99"/>
    <w:rPr>
      <w:color w:val="0000FF"/>
      <w:u w:val="single"/>
    </w:rPr>
  </w:style>
  <w:style w:type="character" w:styleId="25">
    <w:name w:val="HTML Code"/>
    <w:basedOn w:val="21"/>
    <w:uiPriority w:val="0"/>
    <w:rPr>
      <w:rFonts w:ascii="Courier New" w:hAnsi="Courier New"/>
      <w:sz w:val="20"/>
    </w:rPr>
  </w:style>
  <w:style w:type="paragraph" w:customStyle="1" w:styleId="26">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7">
    <w:name w:val="List Paragraph"/>
    <w:basedOn w:val="1"/>
    <w:qFormat/>
    <w:uiPriority w:val="34"/>
    <w:pPr>
      <w:spacing w:after="0"/>
      <w:ind w:left="840" w:leftChars="400" w:hanging="1440"/>
    </w:pPr>
    <w:rPr>
      <w:rFonts w:ascii="Times" w:hAnsi="Times" w:eastAsia="Batang"/>
      <w:szCs w:val="24"/>
    </w:rPr>
  </w:style>
  <w:style w:type="table" w:customStyle="1" w:styleId="28">
    <w:name w:val="Grid Table Light"/>
    <w:basedOn w:val="19"/>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TAH"/>
    <w:basedOn w:val="31"/>
    <w:qFormat/>
    <w:uiPriority w:val="0"/>
    <w:rPr>
      <w:b/>
    </w:rPr>
  </w:style>
  <w:style w:type="paragraph" w:customStyle="1" w:styleId="31">
    <w:name w:val="TAC"/>
    <w:basedOn w:val="32"/>
    <w:qFormat/>
    <w:uiPriority w:val="0"/>
    <w:pPr>
      <w:jc w:val="center"/>
    </w:pPr>
  </w:style>
  <w:style w:type="paragraph" w:customStyle="1" w:styleId="32">
    <w:name w:val="TAL"/>
    <w:basedOn w:val="1"/>
    <w:qFormat/>
    <w:uiPriority w:val="99"/>
    <w:pPr>
      <w:keepNext/>
      <w:keepLines/>
      <w:spacing w:after="0"/>
    </w:pPr>
    <w:rPr>
      <w:rFonts w:ascii="Arial" w:hAnsi="Arial"/>
      <w:sz w:val="18"/>
    </w:rPr>
  </w:style>
  <w:style w:type="paragraph" w:customStyle="1" w:styleId="33">
    <w:name w:val="B1"/>
    <w:basedOn w:val="15"/>
    <w:qFormat/>
    <w:uiPriority w:val="0"/>
    <w:pPr>
      <w:ind w:left="568" w:hanging="284"/>
    </w:pPr>
  </w:style>
  <w:style w:type="paragraph" w:customStyle="1" w:styleId="34">
    <w:name w:val="EQ"/>
    <w:basedOn w:val="1"/>
    <w:next w:val="1"/>
    <w:qFormat/>
    <w:uiPriority w:val="0"/>
    <w:pPr>
      <w:keepLines/>
      <w:tabs>
        <w:tab w:val="center" w:pos="4536"/>
        <w:tab w:val="right" w:pos="9072"/>
      </w:tabs>
    </w:pPr>
  </w:style>
  <w:style w:type="paragraph" w:customStyle="1" w:styleId="35">
    <w:name w:val="B2"/>
    <w:basedOn w:val="14"/>
    <w:qFormat/>
    <w:uiPriority w:val="0"/>
  </w:style>
  <w:style w:type="paragraph" w:customStyle="1" w:styleId="36">
    <w:name w:val="NO"/>
    <w:basedOn w:val="1"/>
    <w:qFormat/>
    <w:uiPriority w:val="0"/>
    <w:pPr>
      <w:keepLines/>
      <w:ind w:left="1135" w:hanging="851"/>
    </w:pPr>
  </w:style>
  <w:style w:type="character" w:customStyle="1" w:styleId="37">
    <w:name w:val="fontstyle01"/>
    <w:basedOn w:val="21"/>
    <w:qFormat/>
    <w:uiPriority w:val="0"/>
    <w:rPr>
      <w:rFonts w:ascii="TimesNewRomanPS-ItalicMT" w:hAnsi="TimesNewRomanPS-ItalicMT" w:eastAsia="TimesNewRomanPS-ItalicMT" w:cs="TimesNewRomanPS-ItalicMT"/>
      <w:i/>
      <w:color w:val="000000"/>
      <w:sz w:val="20"/>
      <w:szCs w:val="20"/>
    </w:r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39">
    <w:name w:val="B4"/>
    <w:basedOn w:val="1"/>
    <w:qFormat/>
    <w:uiPriority w:val="0"/>
    <w:pPr>
      <w:ind w:left="1418" w:hanging="284"/>
    </w:pPr>
  </w:style>
  <w:style w:type="paragraph" w:customStyle="1" w:styleId="40">
    <w:name w:val="B5"/>
    <w:basedOn w:val="1"/>
    <w:qFormat/>
    <w:uiPriority w:val="0"/>
    <w:pPr>
      <w:ind w:left="1702" w:hanging="284"/>
    </w:pPr>
  </w:style>
  <w:style w:type="paragraph" w:customStyle="1" w:styleId="41">
    <w:name w:val="B3"/>
    <w:basedOn w:val="1"/>
    <w:qFormat/>
    <w:uiPriority w:val="0"/>
    <w:pPr>
      <w:ind w:left="1135" w:hanging="284"/>
    </w:pPr>
  </w:style>
  <w:style w:type="paragraph" w:customStyle="1" w:styleId="42">
    <w:name w:val="0 Main text"/>
    <w:basedOn w:val="1"/>
    <w:qFormat/>
    <w:uiPriority w:val="0"/>
    <w:pPr>
      <w:widowControl/>
      <w:spacing w:after="100" w:afterAutospacing="1" w:line="288" w:lineRule="auto"/>
      <w:ind w:firstLine="360"/>
    </w:pPr>
    <w:rPr>
      <w:rFonts w:ascii="Times New Roman" w:hAnsi="Times New Roman" w:eastAsia="Times New Roman" w:cs="Batang"/>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2603</Words>
  <Characters>12518</Characters>
  <Lines>0</Lines>
  <Paragraphs>0</Paragraphs>
  <TotalTime>5</TotalTime>
  <ScaleCrop>false</ScaleCrop>
  <LinksUpToDate>false</LinksUpToDate>
  <CharactersWithSpaces>15020</CharactersWithSpaces>
  <Application>WPS Office_11.8.2.12307_F1E327BC-269C-435d-A152-05C5408002CA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2024-11-07T01:37:29Z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2052-11.8.2.12307</vt:lpwstr>
  </property>
  <property fmtid="{D5CDD505-2E9C-101B-9397-08002B2CF9AE}" pid="3" name="ICV">
    <vt:lpwstr>DDD001057D6E48DE82D00A9756A09E0B</vt:lpwstr>
  </property>
</Properties>
</file>